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1C7EC" w14:textId="394B35CC" w:rsidR="005738D9" w:rsidRPr="00044EC0" w:rsidRDefault="00753B0F">
      <w:pPr>
        <w:rPr>
          <w:sz w:val="28"/>
          <w:szCs w:val="28"/>
        </w:rPr>
      </w:pPr>
      <w:r w:rsidRPr="00044EC0">
        <w:rPr>
          <w:sz w:val="28"/>
          <w:szCs w:val="28"/>
        </w:rPr>
        <w:t xml:space="preserve">Supporting the Work of </w:t>
      </w:r>
      <w:r w:rsidR="009C630D" w:rsidRPr="00044EC0">
        <w:rPr>
          <w:sz w:val="28"/>
          <w:szCs w:val="28"/>
        </w:rPr>
        <w:t>the Diversity Task Force</w:t>
      </w:r>
      <w:r w:rsidRPr="00044EC0">
        <w:rPr>
          <w:sz w:val="28"/>
          <w:szCs w:val="28"/>
        </w:rPr>
        <w:t xml:space="preserve">: </w:t>
      </w:r>
      <w:r w:rsidR="00044EC0">
        <w:rPr>
          <w:sz w:val="28"/>
          <w:szCs w:val="28"/>
        </w:rPr>
        <w:t>A</w:t>
      </w:r>
      <w:r w:rsidRPr="00044EC0">
        <w:rPr>
          <w:sz w:val="28"/>
          <w:szCs w:val="28"/>
        </w:rPr>
        <w:t xml:space="preserve"> </w:t>
      </w:r>
      <w:r w:rsidR="004B073A">
        <w:rPr>
          <w:sz w:val="28"/>
          <w:szCs w:val="28"/>
        </w:rPr>
        <w:t>Framework</w:t>
      </w:r>
    </w:p>
    <w:p w14:paraId="6F37CA84" w14:textId="511A303D" w:rsidR="00753B0F" w:rsidRPr="00044EC0" w:rsidRDefault="00B4325D">
      <w:pPr>
        <w:rPr>
          <w:sz w:val="24"/>
          <w:szCs w:val="24"/>
        </w:rPr>
      </w:pPr>
      <w:r>
        <w:rPr>
          <w:sz w:val="24"/>
          <w:szCs w:val="24"/>
        </w:rPr>
        <w:t xml:space="preserve">Respectfully submitted </w:t>
      </w:r>
      <w:r w:rsidR="00753B0F" w:rsidRPr="00044EC0">
        <w:rPr>
          <w:sz w:val="24"/>
          <w:szCs w:val="24"/>
        </w:rPr>
        <w:t xml:space="preserve">by Cecil E. Canton, </w:t>
      </w:r>
      <w:bookmarkStart w:id="0" w:name="_GoBack"/>
      <w:bookmarkEnd w:id="0"/>
      <w:r w:rsidR="00753B0F" w:rsidRPr="00044EC0">
        <w:rPr>
          <w:sz w:val="24"/>
          <w:szCs w:val="24"/>
        </w:rPr>
        <w:t>member</w:t>
      </w:r>
    </w:p>
    <w:p w14:paraId="084F8BA5" w14:textId="2C1706BA" w:rsidR="005738D9" w:rsidRDefault="005738D9">
      <w:r>
        <w:t>The</w:t>
      </w:r>
      <w:r w:rsidR="009C630D">
        <w:t xml:space="preserve"> numerous task force and c</w:t>
      </w:r>
      <w:r w:rsidR="007B6506">
        <w:t xml:space="preserve">ommittee </w:t>
      </w:r>
      <w:r w:rsidR="00C30E8E">
        <w:t>reports</w:t>
      </w:r>
      <w:r w:rsidR="007B6506">
        <w:t xml:space="preserve"> and surveys</w:t>
      </w:r>
      <w:r w:rsidR="00C30E8E">
        <w:t xml:space="preserve"> on the </w:t>
      </w:r>
      <w:r>
        <w:t xml:space="preserve">book shelves in President Nelson’s </w:t>
      </w:r>
      <w:r w:rsidR="009C630D">
        <w:t>(and his predecessor</w:t>
      </w:r>
      <w:r w:rsidR="00024BF5">
        <w:t>’</w:t>
      </w:r>
      <w:r w:rsidR="009C630D">
        <w:t>s)</w:t>
      </w:r>
      <w:r w:rsidR="00024BF5" w:rsidRPr="00024BF5">
        <w:t xml:space="preserve"> </w:t>
      </w:r>
      <w:r w:rsidR="00024BF5">
        <w:t>office</w:t>
      </w:r>
      <w:r w:rsidR="009C630D">
        <w:t xml:space="preserve"> </w:t>
      </w:r>
      <w:r w:rsidR="00C2536E">
        <w:t>attest</w:t>
      </w:r>
      <w:r>
        <w:t xml:space="preserve"> to the many attempts </w:t>
      </w:r>
      <w:r w:rsidR="00C30E8E">
        <w:t xml:space="preserve">over the years </w:t>
      </w:r>
      <w:r>
        <w:t xml:space="preserve">to address the </w:t>
      </w:r>
      <w:r w:rsidR="007B6506">
        <w:t xml:space="preserve">troubling </w:t>
      </w:r>
      <w:r>
        <w:t>lack of diversity</w:t>
      </w:r>
      <w:r w:rsidR="00C30E8E">
        <w:t xml:space="preserve"> among the faculty, staff and administration at CSUS</w:t>
      </w:r>
      <w:r w:rsidR="007B6506">
        <w:t xml:space="preserve"> and the </w:t>
      </w:r>
      <w:r w:rsidR="00024BF5">
        <w:t>“</w:t>
      </w:r>
      <w:r w:rsidR="008D3B47">
        <w:t>chilly</w:t>
      </w:r>
      <w:r w:rsidR="00024BF5">
        <w:t>”</w:t>
      </w:r>
      <w:r w:rsidR="008D3B47">
        <w:t xml:space="preserve"> campus climate</w:t>
      </w:r>
      <w:r w:rsidR="009C630D">
        <w:t xml:space="preserve"> reported by those passing through</w:t>
      </w:r>
      <w:r w:rsidR="00024BF5">
        <w:t xml:space="preserve"> this</w:t>
      </w:r>
      <w:r w:rsidR="00E17DF7">
        <w:t xml:space="preserve"> “destination</w:t>
      </w:r>
      <w:r w:rsidR="00024BF5">
        <w:t>” campus.</w:t>
      </w:r>
      <w:r w:rsidR="00C30E8E">
        <w:t xml:space="preserve"> Those </w:t>
      </w:r>
      <w:r w:rsidR="00024BF5">
        <w:t>documents are the final resting place</w:t>
      </w:r>
      <w:r w:rsidR="00C30E8E">
        <w:t xml:space="preserve"> of recommendations, suggestions and </w:t>
      </w:r>
      <w:r w:rsidR="00110161">
        <w:t xml:space="preserve">opinions </w:t>
      </w:r>
      <w:r w:rsidR="00C30E8E">
        <w:t>that have been gathered</w:t>
      </w:r>
      <w:r w:rsidR="00944914">
        <w:t xml:space="preserve"> and collected</w:t>
      </w:r>
      <w:r w:rsidR="00C30E8E">
        <w:t>,</w:t>
      </w:r>
      <w:r w:rsidR="00E17DF7">
        <w:t xml:space="preserve"> too</w:t>
      </w:r>
      <w:r w:rsidR="00C30E8E">
        <w:t xml:space="preserve"> often without </w:t>
      </w:r>
      <w:r w:rsidR="00110161">
        <w:t xml:space="preserve">public </w:t>
      </w:r>
      <w:r w:rsidR="00C30E8E">
        <w:t>notice</w:t>
      </w:r>
      <w:r w:rsidR="00110161">
        <w:t>,</w:t>
      </w:r>
      <w:r w:rsidR="00C30E8E">
        <w:t xml:space="preserve"> comment</w:t>
      </w:r>
      <w:r w:rsidR="00110161">
        <w:t xml:space="preserve"> or </w:t>
      </w:r>
      <w:r w:rsidR="00C30E8E">
        <w:t>implementation!</w:t>
      </w:r>
      <w:r w:rsidR="00110161">
        <w:t xml:space="preserve"> </w:t>
      </w:r>
    </w:p>
    <w:p w14:paraId="4E2B2261" w14:textId="7751CB9B" w:rsidR="00C56ECE" w:rsidRDefault="00C56ECE">
      <w:r>
        <w:t xml:space="preserve">If </w:t>
      </w:r>
      <w:r w:rsidR="005738D9" w:rsidRPr="00154CF4">
        <w:rPr>
          <w:i/>
        </w:rPr>
        <w:t>this</w:t>
      </w:r>
      <w:r w:rsidR="00A871DD">
        <w:t xml:space="preserve"> Diversity Task Force is </w:t>
      </w:r>
      <w:r>
        <w:t xml:space="preserve">to lead the university’s efforts to address long standing issues such as </w:t>
      </w:r>
      <w:r w:rsidR="00A871DD">
        <w:t xml:space="preserve">creating </w:t>
      </w:r>
      <w:r w:rsidR="005738D9">
        <w:t>(</w:t>
      </w:r>
      <w:r w:rsidR="00A871DD">
        <w:t>and sustaining</w:t>
      </w:r>
      <w:r w:rsidR="005738D9">
        <w:t>)</w:t>
      </w:r>
      <w:r w:rsidR="00A871DD">
        <w:t xml:space="preserve"> a supportive environment/climate that more closely mirrors the changing demographics of the state, </w:t>
      </w:r>
      <w:r w:rsidR="00B23023">
        <w:t xml:space="preserve">closing the achievement gap, </w:t>
      </w:r>
      <w:r w:rsidR="00A871DD">
        <w:t>and</w:t>
      </w:r>
      <w:r w:rsidR="005738D9">
        <w:t xml:space="preserve"> providing for</w:t>
      </w:r>
      <w:r w:rsidR="00A871DD">
        <w:t xml:space="preserve"> meaningful educational equity, </w:t>
      </w:r>
      <w:r w:rsidR="00C839D1">
        <w:t>we</w:t>
      </w:r>
      <w:r w:rsidR="00A871DD">
        <w:t xml:space="preserve"> </w:t>
      </w:r>
      <w:r w:rsidR="00C30E8E">
        <w:t>must be</w:t>
      </w:r>
      <w:r w:rsidR="00A871DD">
        <w:t xml:space="preserve"> willing to </w:t>
      </w:r>
      <w:r w:rsidR="00D365EC">
        <w:t xml:space="preserve">examine </w:t>
      </w:r>
      <w:r w:rsidR="00C30E8E">
        <w:t>the</w:t>
      </w:r>
      <w:r w:rsidR="00A871DD">
        <w:t xml:space="preserve"> “lived” experiences and realities of those </w:t>
      </w:r>
      <w:r w:rsidR="00C30E8E">
        <w:t>community members</w:t>
      </w:r>
      <w:r w:rsidR="00A871DD">
        <w:t xml:space="preserve"> who have been </w:t>
      </w:r>
      <w:r w:rsidR="00C30E8E">
        <w:t xml:space="preserve">the </w:t>
      </w:r>
      <w:r w:rsidR="00A871DD">
        <w:t xml:space="preserve">most </w:t>
      </w:r>
      <w:r w:rsidR="00110161">
        <w:t>marginalized in</w:t>
      </w:r>
      <w:r w:rsidR="005738D9">
        <w:t xml:space="preserve"> our university and our state</w:t>
      </w:r>
      <w:r w:rsidR="00D365EC">
        <w:t xml:space="preserve"> and engage in courageous conversations about what we find</w:t>
      </w:r>
      <w:r w:rsidR="00A871DD">
        <w:t>.</w:t>
      </w:r>
      <w:r w:rsidR="00964A62">
        <w:t xml:space="preserve"> In order to have those conversations, w</w:t>
      </w:r>
      <w:r w:rsidR="000300E1">
        <w:t xml:space="preserve">e </w:t>
      </w:r>
      <w:r w:rsidR="00964A62">
        <w:t xml:space="preserve">have to do what </w:t>
      </w:r>
      <w:r w:rsidR="008D2D74">
        <w:t>Roderick has suggested:</w:t>
      </w:r>
      <w:r w:rsidR="00964A62">
        <w:t xml:space="preserve"> we must learn</w:t>
      </w:r>
      <w:r w:rsidR="000300E1">
        <w:t xml:space="preserve"> how to talk </w:t>
      </w:r>
      <w:r w:rsidR="00A07B75" w:rsidRPr="00A07B75">
        <w:rPr>
          <w:i/>
        </w:rPr>
        <w:t>honestly</w:t>
      </w:r>
      <w:r w:rsidR="00A07B75">
        <w:t xml:space="preserve"> </w:t>
      </w:r>
      <w:r w:rsidR="000300E1">
        <w:t>with one another</w:t>
      </w:r>
      <w:r w:rsidR="00964A62">
        <w:t>.</w:t>
      </w:r>
      <w:r w:rsidR="00964A62">
        <w:rPr>
          <w:rStyle w:val="FootnoteReference"/>
        </w:rPr>
        <w:footnoteReference w:id="1"/>
      </w:r>
      <w:r w:rsidR="000300E1">
        <w:t xml:space="preserve"> </w:t>
      </w:r>
      <w:r w:rsidR="005738D9">
        <w:t xml:space="preserve"> </w:t>
      </w:r>
      <w:r w:rsidR="00A07B75">
        <w:t>We can begin to accomplish</w:t>
      </w:r>
      <w:r w:rsidR="00C839D1">
        <w:t xml:space="preserve"> that </w:t>
      </w:r>
      <w:r w:rsidR="00A07B75">
        <w:t>by engaging</w:t>
      </w:r>
      <w:r w:rsidR="00C839D1">
        <w:t xml:space="preserve"> in </w:t>
      </w:r>
      <w:r w:rsidR="00A07B75">
        <w:t>the</w:t>
      </w:r>
      <w:r w:rsidR="00C839D1">
        <w:t xml:space="preserve"> </w:t>
      </w:r>
      <w:r w:rsidR="00A07B75">
        <w:t>“</w:t>
      </w:r>
      <w:r w:rsidR="00A07B75" w:rsidRPr="00A07B75">
        <w:rPr>
          <w:i/>
        </w:rPr>
        <w:t xml:space="preserve">Journey </w:t>
      </w:r>
      <w:r w:rsidR="004B073A" w:rsidRPr="00A07B75">
        <w:rPr>
          <w:i/>
        </w:rPr>
        <w:t>into</w:t>
      </w:r>
      <w:r w:rsidR="00A07B75" w:rsidRPr="00A07B75">
        <w:rPr>
          <w:i/>
        </w:rPr>
        <w:t xml:space="preserve"> Change</w:t>
      </w:r>
      <w:r w:rsidR="00A07B75">
        <w:rPr>
          <w:i/>
        </w:rPr>
        <w:t>”</w:t>
      </w:r>
      <w:r w:rsidR="00A07B75">
        <w:t xml:space="preserve"> </w:t>
      </w:r>
      <w:r w:rsidR="00C839D1">
        <w:t>unconscious bias workshop sponsored by the Council for Affirmative Action.</w:t>
      </w:r>
      <w:r w:rsidR="00C839D1">
        <w:rPr>
          <w:rStyle w:val="FootnoteReference"/>
        </w:rPr>
        <w:footnoteReference w:id="2"/>
      </w:r>
      <w:r w:rsidR="00C839D1">
        <w:t xml:space="preserve"> </w:t>
      </w:r>
      <w:r w:rsidR="005738D9">
        <w:t xml:space="preserve">In short, if </w:t>
      </w:r>
      <w:r w:rsidR="00024BF5">
        <w:t>we are</w:t>
      </w:r>
      <w:r w:rsidR="005738D9">
        <w:t xml:space="preserve"> to </w:t>
      </w:r>
      <w:r w:rsidR="00154CF4">
        <w:t>find success</w:t>
      </w:r>
      <w:r w:rsidR="005738D9">
        <w:t xml:space="preserve"> </w:t>
      </w:r>
      <w:r w:rsidR="00024BF5">
        <w:t>where</w:t>
      </w:r>
      <w:r w:rsidR="005738D9">
        <w:t xml:space="preserve"> past efforts have failed</w:t>
      </w:r>
      <w:r w:rsidR="00024BF5">
        <w:t>, we</w:t>
      </w:r>
      <w:r w:rsidR="005738D9">
        <w:t xml:space="preserve"> must be willing to challenge the </w:t>
      </w:r>
      <w:r w:rsidR="005738D9" w:rsidRPr="005738D9">
        <w:rPr>
          <w:i/>
        </w:rPr>
        <w:t>status quo</w:t>
      </w:r>
      <w:r w:rsidR="00CA2893">
        <w:rPr>
          <w:i/>
        </w:rPr>
        <w:t xml:space="preserve">, </w:t>
      </w:r>
      <w:r w:rsidR="00CA2893">
        <w:t>and do things differently</w:t>
      </w:r>
      <w:r w:rsidR="005738D9">
        <w:t>.</w:t>
      </w:r>
      <w:r w:rsidR="00110161">
        <w:t xml:space="preserve"> </w:t>
      </w:r>
      <w:r w:rsidR="00024BF5">
        <w:t>Absent that</w:t>
      </w:r>
      <w:r w:rsidR="00944914">
        <w:t>, our</w:t>
      </w:r>
      <w:r w:rsidR="00024BF5">
        <w:t xml:space="preserve"> </w:t>
      </w:r>
      <w:r w:rsidR="00944914">
        <w:t xml:space="preserve">task force </w:t>
      </w:r>
      <w:r w:rsidR="00024BF5">
        <w:t xml:space="preserve">report’s recommendations, suggestions and advice will be </w:t>
      </w:r>
      <w:r w:rsidR="00944914">
        <w:t>consigned to its own plot</w:t>
      </w:r>
      <w:r w:rsidR="00110161">
        <w:t xml:space="preserve"> </w:t>
      </w:r>
      <w:r w:rsidR="00024BF5">
        <w:t>in</w:t>
      </w:r>
      <w:r w:rsidR="00110161">
        <w:t xml:space="preserve"> the graveyard.</w:t>
      </w:r>
    </w:p>
    <w:p w14:paraId="3EC867A2" w14:textId="1605E99E" w:rsidR="0003176F" w:rsidRDefault="0032387A">
      <w:r>
        <w:t xml:space="preserve">As the recent </w:t>
      </w:r>
      <w:r w:rsidR="00FE12F8">
        <w:t xml:space="preserve">survey and inventory of reports, programs, initiatives, and other efforts </w:t>
      </w:r>
      <w:r>
        <w:t xml:space="preserve">we received at the inaugural Diversity Task Force meeting </w:t>
      </w:r>
      <w:r w:rsidR="00FE12F8">
        <w:t xml:space="preserve">have made </w:t>
      </w:r>
      <w:r w:rsidR="00441F05">
        <w:t>clear;</w:t>
      </w:r>
      <w:r w:rsidR="00FE12F8">
        <w:t xml:space="preserve"> </w:t>
      </w:r>
      <w:r w:rsidR="00A77CF0">
        <w:t>there have been myriad attempts</w:t>
      </w:r>
      <w:r w:rsidR="00FE12F8">
        <w:t xml:space="preserve"> to address the issue of “diversity” </w:t>
      </w:r>
      <w:r>
        <w:t>on</w:t>
      </w:r>
      <w:r w:rsidR="00FE12F8">
        <w:t xml:space="preserve"> many levels over the years.</w:t>
      </w:r>
      <w:r w:rsidR="0003176F">
        <w:t xml:space="preserve"> </w:t>
      </w:r>
      <w:r w:rsidR="00944914">
        <w:t>However, prior</w:t>
      </w:r>
      <w:r w:rsidR="0003176F">
        <w:t xml:space="preserve"> to any effort to evaluate our diversity efforts</w:t>
      </w:r>
      <w:r w:rsidR="00944914">
        <w:t>, we must have a common</w:t>
      </w:r>
      <w:r w:rsidR="0003176F">
        <w:t xml:space="preserve"> definition of what we believe diversity to be.</w:t>
      </w:r>
      <w:r w:rsidR="00944914">
        <w:t xml:space="preserve"> What is “diversity” and why has it been such an elusive </w:t>
      </w:r>
      <w:r w:rsidR="009850BA">
        <w:t>target at Sacramento State?</w:t>
      </w:r>
    </w:p>
    <w:p w14:paraId="299E7D93" w14:textId="03988292" w:rsidR="00CA2893" w:rsidRPr="00F52971" w:rsidRDefault="00CA2893" w:rsidP="008D2D74">
      <w:r w:rsidRPr="00CA2893">
        <w:t xml:space="preserve">The </w:t>
      </w:r>
      <w:r w:rsidR="008D2D74">
        <w:t xml:space="preserve">on-line </w:t>
      </w:r>
      <w:r w:rsidRPr="00CA2893">
        <w:t xml:space="preserve">Merriam-Webster dictionary defines “diversity” as </w:t>
      </w:r>
      <w:r w:rsidR="00F52971">
        <w:rPr>
          <w:rFonts w:ascii="Open Sans" w:eastAsia="Times New Roman" w:hAnsi="Open Sans" w:cs="Times New Roman"/>
          <w:sz w:val="24"/>
          <w:szCs w:val="24"/>
        </w:rPr>
        <w:t>“</w:t>
      </w:r>
      <w:r w:rsidR="00F52971" w:rsidRPr="00F52971">
        <w:rPr>
          <w:rFonts w:eastAsia="Times New Roman" w:cs="Times New Roman"/>
          <w:i/>
        </w:rPr>
        <w:t>the condition of having or being composed of differing elements</w:t>
      </w:r>
      <w:r w:rsidR="00F52971">
        <w:rPr>
          <w:rFonts w:eastAsia="Times New Roman" w:cs="Times New Roman"/>
          <w:i/>
        </w:rPr>
        <w:t>,(</w:t>
      </w:r>
      <w:r w:rsidR="00F52971" w:rsidRPr="00F52971">
        <w:rPr>
          <w:rFonts w:eastAsia="Times New Roman" w:cs="Times New Roman"/>
          <w:i/>
        </w:rPr>
        <w:t xml:space="preserve"> </w:t>
      </w:r>
      <w:hyperlink r:id="rId8" w:history="1">
        <w:r w:rsidR="00F52971" w:rsidRPr="00F52971">
          <w:rPr>
            <w:rFonts w:eastAsia="Times New Roman" w:cs="Times New Roman"/>
            <w:i/>
            <w:color w:val="0000FF"/>
            <w:u w:val="single"/>
          </w:rPr>
          <w:t>variety</w:t>
        </w:r>
      </w:hyperlink>
      <w:r w:rsidR="00F52971">
        <w:rPr>
          <w:rFonts w:eastAsia="Times New Roman" w:cs="Times New Roman"/>
          <w:i/>
        </w:rPr>
        <w:t>)</w:t>
      </w:r>
      <w:r w:rsidR="00F52971" w:rsidRPr="00F52971">
        <w:rPr>
          <w:rFonts w:eastAsia="Times New Roman" w:cs="Times New Roman"/>
          <w:i/>
        </w:rPr>
        <w:t xml:space="preserve">; the inclusion of different types of people (as people of different races or cultures) in a group or organization &lt;programs intended to promote </w:t>
      </w:r>
      <w:r w:rsidR="00F52971" w:rsidRPr="00F52971">
        <w:rPr>
          <w:rFonts w:eastAsia="Times New Roman" w:cs="Times New Roman"/>
          <w:i/>
          <w:iCs/>
        </w:rPr>
        <w:t>diversity</w:t>
      </w:r>
      <w:r w:rsidR="00F52971" w:rsidRPr="00F52971">
        <w:rPr>
          <w:rFonts w:eastAsia="Times New Roman" w:cs="Times New Roman"/>
          <w:i/>
        </w:rPr>
        <w:t xml:space="preserve"> in schools&gt;</w:t>
      </w:r>
      <w:r w:rsidR="008D2D74">
        <w:rPr>
          <w:rFonts w:eastAsia="Times New Roman" w:cs="Times New Roman"/>
          <w:i/>
        </w:rPr>
        <w:t>;</w:t>
      </w:r>
      <w:r w:rsidR="00F52971" w:rsidRPr="00F52971">
        <w:rPr>
          <w:rFonts w:ascii="Open Sans" w:eastAsia="Times New Roman" w:hAnsi="Open Sans" w:cs="Times New Roman"/>
          <w:sz w:val="24"/>
          <w:szCs w:val="24"/>
        </w:rPr>
        <w:t xml:space="preserve"> </w:t>
      </w:r>
      <w:r w:rsidR="00F52971" w:rsidRPr="00F52971">
        <w:rPr>
          <w:rFonts w:eastAsia="Times New Roman" w:cs="Times New Roman"/>
          <w:i/>
        </w:rPr>
        <w:t xml:space="preserve">an instance of being composed of differing elements or qualities </w:t>
      </w:r>
      <w:r w:rsidR="00F52971" w:rsidRPr="00F52971">
        <w:rPr>
          <w:rFonts w:eastAsia="Times New Roman" w:cs="Times New Roman"/>
          <w:b/>
          <w:bCs/>
          <w:i/>
        </w:rPr>
        <w:t>:</w:t>
      </w:r>
      <w:r w:rsidR="00F52971" w:rsidRPr="00F52971">
        <w:rPr>
          <w:rFonts w:eastAsia="Times New Roman" w:cs="Times New Roman"/>
          <w:i/>
        </w:rPr>
        <w:t xml:space="preserve">  an instance of being </w:t>
      </w:r>
      <w:hyperlink r:id="rId9" w:history="1">
        <w:r w:rsidR="00F52971" w:rsidRPr="00F52971">
          <w:rPr>
            <w:rFonts w:eastAsia="Times New Roman" w:cs="Times New Roman"/>
            <w:i/>
            <w:color w:val="0000FF"/>
            <w:u w:val="single"/>
          </w:rPr>
          <w:t>diverse</w:t>
        </w:r>
      </w:hyperlink>
      <w:r w:rsidR="00F52971" w:rsidRPr="00F52971">
        <w:rPr>
          <w:rFonts w:eastAsia="Times New Roman" w:cs="Times New Roman"/>
          <w:i/>
        </w:rPr>
        <w:t xml:space="preserve"> &lt;a </w:t>
      </w:r>
      <w:r w:rsidR="00F52971" w:rsidRPr="00F52971">
        <w:rPr>
          <w:rFonts w:eastAsia="Times New Roman" w:cs="Times New Roman"/>
          <w:i/>
          <w:iCs/>
        </w:rPr>
        <w:t>diversity</w:t>
      </w:r>
      <w:r w:rsidR="00F52971" w:rsidRPr="00F52971">
        <w:rPr>
          <w:rFonts w:eastAsia="Times New Roman" w:cs="Times New Roman"/>
          <w:i/>
        </w:rPr>
        <w:t xml:space="preserve"> of opinion&gt;</w:t>
      </w:r>
      <w:r w:rsidR="008D2D74">
        <w:rPr>
          <w:rFonts w:eastAsia="Times New Roman" w:cs="Times New Roman"/>
          <w:i/>
        </w:rPr>
        <w:t>”</w:t>
      </w:r>
      <w:r w:rsidRPr="00CA2893">
        <w:rPr>
          <w:i/>
        </w:rPr>
        <w:t>.</w:t>
      </w:r>
      <w:r w:rsidR="00F52971">
        <w:rPr>
          <w:rStyle w:val="FootnoteReference"/>
          <w:i/>
        </w:rPr>
        <w:footnoteReference w:id="3"/>
      </w:r>
    </w:p>
    <w:p w14:paraId="1E5E3CC0" w14:textId="4913E025" w:rsidR="00AF6248" w:rsidRDefault="009850BA">
      <w:r>
        <w:t xml:space="preserve">In my opinion, the term “diversity” has become a substitute for what used to </w:t>
      </w:r>
      <w:r w:rsidR="00AA0BC1">
        <w:t>be called “</w:t>
      </w:r>
      <w:r>
        <w:t>affirmative action</w:t>
      </w:r>
      <w:r w:rsidR="00AA0BC1">
        <w:t xml:space="preserve">.” </w:t>
      </w:r>
      <w:r w:rsidR="00AF6248">
        <w:t xml:space="preserve">“Affirmative action” as a term </w:t>
      </w:r>
      <w:r w:rsidR="00AA0BC1">
        <w:t xml:space="preserve">fell into disfavor because it </w:t>
      </w:r>
      <w:r w:rsidR="00F519E5">
        <w:t xml:space="preserve">exposed underlying resentments and racial fracture </w:t>
      </w:r>
      <w:r w:rsidR="00AF6248">
        <w:t>lines regarding</w:t>
      </w:r>
      <w:r w:rsidR="00F519E5">
        <w:t xml:space="preserve"> our nation’s responsibility to “level the playing field” for those long marginalized within our society. </w:t>
      </w:r>
      <w:r w:rsidR="00AF6248">
        <w:t>“Diversity” is a softer</w:t>
      </w:r>
      <w:r w:rsidR="00B71939">
        <w:t>, mutable</w:t>
      </w:r>
      <w:r w:rsidR="00AF6248">
        <w:t xml:space="preserve"> and more acceptable term, one that doesn’t require an explanation for </w:t>
      </w:r>
      <w:r w:rsidR="00D365EC">
        <w:t>the</w:t>
      </w:r>
      <w:r w:rsidR="00AF6248">
        <w:t xml:space="preserve"> failure to live up to our expressed beliefs about equality.</w:t>
      </w:r>
      <w:r w:rsidR="00B71939">
        <w:rPr>
          <w:rStyle w:val="FootnoteReference"/>
        </w:rPr>
        <w:footnoteReference w:id="4"/>
      </w:r>
      <w:r w:rsidR="00B71939">
        <w:t xml:space="preserve"> </w:t>
      </w:r>
      <w:r w:rsidR="008D2D74">
        <w:t>However, it</w:t>
      </w:r>
      <w:r w:rsidR="00B71939">
        <w:t xml:space="preserve"> masks what </w:t>
      </w:r>
      <w:r w:rsidR="00B71939">
        <w:lastRenderedPageBreak/>
        <w:t>Mills calls the “racial contract</w:t>
      </w:r>
      <w:r w:rsidR="00D365EC">
        <w:t>:</w:t>
      </w:r>
      <w:r w:rsidR="00B71939">
        <w:t>”</w:t>
      </w:r>
      <w:r w:rsidR="00B71939">
        <w:rPr>
          <w:rStyle w:val="FootnoteReference"/>
        </w:rPr>
        <w:footnoteReference w:id="5"/>
      </w:r>
      <w:r w:rsidR="00B71939">
        <w:t xml:space="preserve"> </w:t>
      </w:r>
      <w:r w:rsidR="00D365EC">
        <w:t>the systems and structures of power that keep institutional racism in place and continue to deny meaningful change in the academy and the country.</w:t>
      </w:r>
    </w:p>
    <w:p w14:paraId="5DF75812" w14:textId="1716F7CA" w:rsidR="008A2E12" w:rsidRDefault="008D2D74">
      <w:r>
        <w:t xml:space="preserve">As Kendall </w:t>
      </w:r>
      <w:r w:rsidR="008A2E12">
        <w:t>points out</w:t>
      </w:r>
      <w:r>
        <w:t xml:space="preserve"> “focusing solely on “diversity</w:t>
      </w:r>
      <w:r w:rsidR="004462A2">
        <w:t>”</w:t>
      </w:r>
      <w:r>
        <w:t xml:space="preserve"> w</w:t>
      </w:r>
      <w:r w:rsidR="008A2E12">
        <w:t xml:space="preserve">ithout addressing oppression, </w:t>
      </w:r>
      <w:r w:rsidR="004462A2">
        <w:t xml:space="preserve">not </w:t>
      </w:r>
      <w:r w:rsidR="008A2E12">
        <w:t>sp</w:t>
      </w:r>
      <w:r>
        <w:t>eaking specifically</w:t>
      </w:r>
      <w:r w:rsidR="008A2E12">
        <w:t xml:space="preserve"> </w:t>
      </w:r>
      <w:r>
        <w:t xml:space="preserve">to the experience of people of color </w:t>
      </w:r>
      <w:r w:rsidR="004462A2">
        <w:t>i</w:t>
      </w:r>
      <w:r>
        <w:t>n predominantly white organizations</w:t>
      </w:r>
      <w:r w:rsidR="008A2E12">
        <w:t>,</w:t>
      </w:r>
      <w:r>
        <w:t xml:space="preserve"> or </w:t>
      </w:r>
      <w:r w:rsidR="004462A2">
        <w:t xml:space="preserve">not </w:t>
      </w:r>
      <w:r>
        <w:t>talking openly</w:t>
      </w:r>
      <w:r w:rsidR="008A2E12">
        <w:t xml:space="preserve"> about racism in the organization”</w:t>
      </w:r>
      <w:r w:rsidR="008A2E12">
        <w:rPr>
          <w:rStyle w:val="FootnoteReference"/>
        </w:rPr>
        <w:footnoteReference w:id="6"/>
      </w:r>
      <w:r w:rsidR="008A2E12">
        <w:t xml:space="preserve"> is a recipe for continued failure. </w:t>
      </w:r>
    </w:p>
    <w:p w14:paraId="6E3E639C" w14:textId="31EEE91D" w:rsidR="0032387A" w:rsidRDefault="004462A2">
      <w:r>
        <w:t>Yet, we know that f</w:t>
      </w:r>
      <w:r w:rsidR="008A2E12">
        <w:t xml:space="preserve">ailure, or the lack of success, can come from many other causes. </w:t>
      </w:r>
      <w:r>
        <w:t>Chief among them is the failure to align our efforts</w:t>
      </w:r>
      <w:r w:rsidR="0032387A">
        <w:t xml:space="preserve"> with the mission of the university or </w:t>
      </w:r>
      <w:r>
        <w:t>to</w:t>
      </w:r>
      <w:r w:rsidR="0032387A">
        <w:t xml:space="preserve"> </w:t>
      </w:r>
      <w:r w:rsidR="00441F05">
        <w:t xml:space="preserve">appropriately </w:t>
      </w:r>
      <w:r>
        <w:t>evaluate</w:t>
      </w:r>
      <w:r w:rsidR="0032387A">
        <w:t xml:space="preserve"> their effectiveness. </w:t>
      </w:r>
      <w:r w:rsidR="00FE12F8">
        <w:t xml:space="preserve"> </w:t>
      </w:r>
      <w:r w:rsidR="006E096D">
        <w:t>As a task force, we need to review the CSUS Mission statement</w:t>
      </w:r>
      <w:r w:rsidR="004B073A">
        <w:t xml:space="preserve">, identify </w:t>
      </w:r>
      <w:r w:rsidR="00A44F79">
        <w:t>its aspiration</w:t>
      </w:r>
      <w:r w:rsidR="006E096D">
        <w:t xml:space="preserve"> </w:t>
      </w:r>
      <w:r w:rsidR="004B073A">
        <w:t>for</w:t>
      </w:r>
      <w:r w:rsidR="006E096D">
        <w:t xml:space="preserve"> “diversity and inclusion</w:t>
      </w:r>
      <w:r w:rsidR="004B073A">
        <w:t xml:space="preserve">,” and then </w:t>
      </w:r>
      <w:r w:rsidR="00C231F5">
        <w:t xml:space="preserve">use </w:t>
      </w:r>
      <w:r w:rsidR="00A44F79">
        <w:t>it to animate</w:t>
      </w:r>
      <w:r w:rsidR="00C231F5">
        <w:t xml:space="preserve"> our own work.</w:t>
      </w:r>
    </w:p>
    <w:p w14:paraId="6A805BFE" w14:textId="5179017D" w:rsidR="0005452E" w:rsidRDefault="0032387A">
      <w:r>
        <w:t>I</w:t>
      </w:r>
      <w:r w:rsidR="00EA4ADB">
        <w:t xml:space="preserve">n order to strategically </w:t>
      </w:r>
      <w:r w:rsidR="00FE12F8">
        <w:t xml:space="preserve">assess </w:t>
      </w:r>
      <w:r w:rsidR="00EA4ADB">
        <w:t xml:space="preserve">the </w:t>
      </w:r>
      <w:r w:rsidR="00FE12F8">
        <w:t>viability</w:t>
      </w:r>
      <w:r w:rsidR="00EA4ADB">
        <w:t xml:space="preserve"> and impact of </w:t>
      </w:r>
      <w:r w:rsidR="004462A2">
        <w:t>any</w:t>
      </w:r>
      <w:r w:rsidR="00EA4ADB">
        <w:t xml:space="preserve"> “diversity” efforts, we must </w:t>
      </w:r>
      <w:r w:rsidR="00A9613D">
        <w:t xml:space="preserve">first </w:t>
      </w:r>
      <w:r w:rsidR="00110161">
        <w:t>gauge</w:t>
      </w:r>
      <w:r>
        <w:t xml:space="preserve"> their fidelity to</w:t>
      </w:r>
      <w:r w:rsidR="00EA4ADB">
        <w:t xml:space="preserve"> two key </w:t>
      </w:r>
      <w:r w:rsidR="0017027E">
        <w:t>components</w:t>
      </w:r>
      <w:r w:rsidR="00EA4ADB">
        <w:t xml:space="preserve">: </w:t>
      </w:r>
      <w:r w:rsidR="00441F05">
        <w:t xml:space="preserve">(a) </w:t>
      </w:r>
      <w:r w:rsidR="004462A2">
        <w:t>mission and g</w:t>
      </w:r>
      <w:r w:rsidR="00EA4ADB">
        <w:t xml:space="preserve">oals and </w:t>
      </w:r>
      <w:r w:rsidR="00441F05">
        <w:t xml:space="preserve">(b) </w:t>
      </w:r>
      <w:r w:rsidR="004462A2">
        <w:t>measures of s</w:t>
      </w:r>
      <w:r w:rsidR="00EA4ADB">
        <w:t xml:space="preserve">uccess. </w:t>
      </w:r>
      <w:r>
        <w:t xml:space="preserve">In its report </w:t>
      </w:r>
      <w:r w:rsidR="0017027E" w:rsidRPr="0017027E">
        <w:rPr>
          <w:i/>
        </w:rPr>
        <w:t>A Policy and Legal “Syllabus” for Diversity Programs at Colleges and Universities</w:t>
      </w:r>
      <w:r w:rsidR="0017027E">
        <w:t>,</w:t>
      </w:r>
      <w:r w:rsidR="00EA4ADB">
        <w:t xml:space="preserve"> the Acc</w:t>
      </w:r>
      <w:r w:rsidR="00E17DF7">
        <w:t>ess and Diversity Collaborative</w:t>
      </w:r>
      <w:r w:rsidR="00EA4ADB">
        <w:t xml:space="preserve"> </w:t>
      </w:r>
      <w:r w:rsidR="00A9613D">
        <w:rPr>
          <w:rStyle w:val="FootnoteReference"/>
        </w:rPr>
        <w:footnoteReference w:id="7"/>
      </w:r>
      <w:r w:rsidR="0017027E">
        <w:t xml:space="preserve"> has identified these elements as essential to any framework examining an institution’s commitment </w:t>
      </w:r>
      <w:r w:rsidR="00441F05">
        <w:t xml:space="preserve">to </w:t>
      </w:r>
      <w:r w:rsidR="0017027E">
        <w:t>and success</w:t>
      </w:r>
      <w:r w:rsidR="00441F05">
        <w:t xml:space="preserve"> with diversity.</w:t>
      </w:r>
      <w:r w:rsidR="003A38ED">
        <w:t xml:space="preserve"> Regarding the </w:t>
      </w:r>
      <w:r w:rsidR="00C47B91">
        <w:t>m</w:t>
      </w:r>
      <w:r w:rsidR="003A38ED">
        <w:t xml:space="preserve">ission and </w:t>
      </w:r>
      <w:r w:rsidR="00C47B91">
        <w:t>g</w:t>
      </w:r>
      <w:r w:rsidR="003A38ED">
        <w:t>oals component</w:t>
      </w:r>
      <w:r w:rsidR="00E17DF7">
        <w:t>, it</w:t>
      </w:r>
      <w:r w:rsidR="003A38ED">
        <w:t xml:space="preserve"> states: </w:t>
      </w:r>
    </w:p>
    <w:p w14:paraId="59561715" w14:textId="3BD78904" w:rsidR="00EA4ADB" w:rsidRPr="00E81333" w:rsidRDefault="00E81333" w:rsidP="003E2582">
      <w:pPr>
        <w:pStyle w:val="Quote"/>
        <w:ind w:left="720"/>
      </w:pPr>
      <w:r>
        <w:t xml:space="preserve">An institution…. </w:t>
      </w:r>
      <w:r w:rsidR="00EA4ADB" w:rsidRPr="00E81333">
        <w:t>should clearly articulate its particular, broad-based diversity goals, with a direct connection to its mission and the long-recognized benefits of diversity that include improved teaching and learning, preparation for the 21</w:t>
      </w:r>
      <w:r w:rsidR="00EA4ADB" w:rsidRPr="00E81333">
        <w:rPr>
          <w:sz w:val="14"/>
          <w:szCs w:val="14"/>
        </w:rPr>
        <w:t xml:space="preserve">st </w:t>
      </w:r>
      <w:r w:rsidR="00EA4ADB" w:rsidRPr="00E81333">
        <w:t xml:space="preserve">century workforce, and enhanced preparation for civic participation. </w:t>
      </w:r>
      <w:r w:rsidR="00441F05" w:rsidRPr="00E81333">
        <w:rPr>
          <w:rStyle w:val="FootnoteReference"/>
          <w:bCs/>
        </w:rPr>
        <w:footnoteReference w:id="8"/>
      </w:r>
    </w:p>
    <w:p w14:paraId="56C06B7A" w14:textId="61C26422" w:rsidR="00EA4ADB" w:rsidRDefault="00C56ECE" w:rsidP="00EA4ADB">
      <w:pPr>
        <w:pStyle w:val="Default"/>
        <w:rPr>
          <w:sz w:val="22"/>
          <w:szCs w:val="22"/>
        </w:rPr>
      </w:pPr>
      <w:r>
        <w:rPr>
          <w:bCs/>
          <w:sz w:val="22"/>
          <w:szCs w:val="22"/>
        </w:rPr>
        <w:t>The Collaborative also gives us guidance on k</w:t>
      </w:r>
      <w:r w:rsidR="00E81333">
        <w:rPr>
          <w:bCs/>
          <w:sz w:val="22"/>
          <w:szCs w:val="22"/>
        </w:rPr>
        <w:t>ey question</w:t>
      </w:r>
      <w:r w:rsidR="00543E48">
        <w:rPr>
          <w:bCs/>
          <w:sz w:val="22"/>
          <w:szCs w:val="22"/>
        </w:rPr>
        <w:t>s</w:t>
      </w:r>
      <w:r w:rsidR="0037004C">
        <w:rPr>
          <w:bCs/>
          <w:sz w:val="22"/>
          <w:szCs w:val="22"/>
        </w:rPr>
        <w:t xml:space="preserve"> regarding mission and goals </w:t>
      </w:r>
      <w:r w:rsidR="00E81333">
        <w:rPr>
          <w:bCs/>
          <w:sz w:val="22"/>
          <w:szCs w:val="22"/>
        </w:rPr>
        <w:t xml:space="preserve">that should be addressed by </w:t>
      </w:r>
      <w:r w:rsidR="00E17DF7">
        <w:rPr>
          <w:bCs/>
          <w:sz w:val="22"/>
          <w:szCs w:val="22"/>
        </w:rPr>
        <w:t>our</w:t>
      </w:r>
      <w:r w:rsidR="00E81333">
        <w:rPr>
          <w:bCs/>
          <w:sz w:val="22"/>
          <w:szCs w:val="22"/>
        </w:rPr>
        <w:t xml:space="preserve"> </w:t>
      </w:r>
      <w:r w:rsidR="00C47B91">
        <w:rPr>
          <w:bCs/>
          <w:sz w:val="22"/>
          <w:szCs w:val="22"/>
        </w:rPr>
        <w:t>t</w:t>
      </w:r>
      <w:r w:rsidR="00543E48">
        <w:rPr>
          <w:bCs/>
          <w:sz w:val="22"/>
          <w:szCs w:val="22"/>
        </w:rPr>
        <w:t xml:space="preserve">ask </w:t>
      </w:r>
      <w:r w:rsidR="00C47B91">
        <w:rPr>
          <w:bCs/>
          <w:sz w:val="22"/>
          <w:szCs w:val="22"/>
        </w:rPr>
        <w:t>f</w:t>
      </w:r>
      <w:r w:rsidR="00543E48">
        <w:rPr>
          <w:bCs/>
          <w:sz w:val="22"/>
          <w:szCs w:val="22"/>
        </w:rPr>
        <w:t>orce</w:t>
      </w:r>
      <w:r>
        <w:rPr>
          <w:bCs/>
          <w:sz w:val="22"/>
          <w:szCs w:val="22"/>
        </w:rPr>
        <w:t>:</w:t>
      </w:r>
      <w:r w:rsidR="00E81333">
        <w:rPr>
          <w:bCs/>
          <w:sz w:val="22"/>
          <w:szCs w:val="22"/>
        </w:rPr>
        <w:t xml:space="preserve"> </w:t>
      </w:r>
      <w:r>
        <w:rPr>
          <w:bCs/>
          <w:sz w:val="22"/>
          <w:szCs w:val="22"/>
        </w:rPr>
        <w:t xml:space="preserve">What </w:t>
      </w:r>
      <w:r w:rsidR="00543E48">
        <w:rPr>
          <w:bCs/>
          <w:sz w:val="22"/>
          <w:szCs w:val="22"/>
        </w:rPr>
        <w:t xml:space="preserve">are </w:t>
      </w:r>
      <w:r>
        <w:rPr>
          <w:bCs/>
          <w:sz w:val="22"/>
          <w:szCs w:val="22"/>
        </w:rPr>
        <w:t xml:space="preserve">the </w:t>
      </w:r>
      <w:r w:rsidR="00EA4ADB">
        <w:rPr>
          <w:sz w:val="22"/>
          <w:szCs w:val="22"/>
        </w:rPr>
        <w:t xml:space="preserve">educational interests </w:t>
      </w:r>
      <w:r>
        <w:rPr>
          <w:sz w:val="22"/>
          <w:szCs w:val="22"/>
        </w:rPr>
        <w:t xml:space="preserve">that </w:t>
      </w:r>
      <w:r w:rsidR="00543E48">
        <w:rPr>
          <w:sz w:val="22"/>
          <w:szCs w:val="22"/>
        </w:rPr>
        <w:t>CSUS</w:t>
      </w:r>
      <w:r w:rsidR="00EA4ADB">
        <w:rPr>
          <w:sz w:val="22"/>
          <w:szCs w:val="22"/>
        </w:rPr>
        <w:t xml:space="preserve"> (and its various departments</w:t>
      </w:r>
      <w:r w:rsidR="00543E48">
        <w:rPr>
          <w:sz w:val="22"/>
          <w:szCs w:val="22"/>
        </w:rPr>
        <w:t xml:space="preserve">, </w:t>
      </w:r>
      <w:r w:rsidR="00EA4ADB">
        <w:rPr>
          <w:sz w:val="22"/>
          <w:szCs w:val="22"/>
        </w:rPr>
        <w:t>schools</w:t>
      </w:r>
      <w:r w:rsidR="00543E48">
        <w:rPr>
          <w:sz w:val="22"/>
          <w:szCs w:val="22"/>
        </w:rPr>
        <w:t xml:space="preserve"> and colleges</w:t>
      </w:r>
      <w:r w:rsidR="00EA4ADB">
        <w:rPr>
          <w:sz w:val="22"/>
          <w:szCs w:val="22"/>
        </w:rPr>
        <w:t xml:space="preserve">) seek to achieve through its diversity goals? </w:t>
      </w:r>
      <w:r w:rsidR="00543E48">
        <w:rPr>
          <w:sz w:val="22"/>
          <w:szCs w:val="22"/>
        </w:rPr>
        <w:t xml:space="preserve">Are  </w:t>
      </w:r>
      <w:r w:rsidR="00EA4ADB">
        <w:rPr>
          <w:sz w:val="22"/>
          <w:szCs w:val="22"/>
        </w:rPr>
        <w:t>those goals directly related to the institution’s mission?</w:t>
      </w:r>
      <w:r w:rsidR="00DA474B">
        <w:rPr>
          <w:sz w:val="22"/>
          <w:szCs w:val="22"/>
        </w:rPr>
        <w:t xml:space="preserve"> Are they clearly communicated</w:t>
      </w:r>
      <w:r w:rsidR="003A38ED">
        <w:rPr>
          <w:sz w:val="22"/>
          <w:szCs w:val="22"/>
        </w:rPr>
        <w:t xml:space="preserve">? </w:t>
      </w:r>
      <w:r w:rsidR="00EA4ADB">
        <w:rPr>
          <w:sz w:val="22"/>
          <w:szCs w:val="22"/>
        </w:rPr>
        <w:t xml:space="preserve"> Do institutional leaders, administrators, faculty, and other stakeholders have the right information and understanding of the institution’s mission and diversity goals for communicating and building support, both internally and with the public?</w:t>
      </w:r>
      <w:r>
        <w:rPr>
          <w:rStyle w:val="FootnoteReference"/>
          <w:sz w:val="22"/>
          <w:szCs w:val="22"/>
        </w:rPr>
        <w:footnoteReference w:id="9"/>
      </w:r>
      <w:r w:rsidR="0037004C">
        <w:rPr>
          <w:sz w:val="22"/>
          <w:szCs w:val="22"/>
        </w:rPr>
        <w:t xml:space="preserve">I would add that we also need to determine whether or not </w:t>
      </w:r>
      <w:r w:rsidR="0037004C" w:rsidRPr="0037004C">
        <w:rPr>
          <w:i/>
          <w:sz w:val="22"/>
          <w:szCs w:val="22"/>
        </w:rPr>
        <w:t>and</w:t>
      </w:r>
      <w:r w:rsidR="0037004C">
        <w:rPr>
          <w:sz w:val="22"/>
          <w:szCs w:val="22"/>
        </w:rPr>
        <w:t xml:space="preserve"> how these efforts connect to one another.</w:t>
      </w:r>
    </w:p>
    <w:p w14:paraId="2EE801E9" w14:textId="77777777" w:rsidR="00EA4ADB" w:rsidRPr="00EA4ADB" w:rsidRDefault="00EA4ADB" w:rsidP="00EA4ADB">
      <w:pPr>
        <w:autoSpaceDE w:val="0"/>
        <w:autoSpaceDN w:val="0"/>
        <w:adjustRightInd w:val="0"/>
        <w:spacing w:after="0" w:line="240" w:lineRule="auto"/>
        <w:rPr>
          <w:rFonts w:ascii="Cambria" w:hAnsi="Cambria" w:cs="Cambria"/>
          <w:color w:val="000000"/>
          <w:sz w:val="24"/>
          <w:szCs w:val="24"/>
        </w:rPr>
      </w:pPr>
    </w:p>
    <w:p w14:paraId="0FE427E0" w14:textId="62EEB98F" w:rsidR="003A38ED" w:rsidRPr="00A356F2" w:rsidRDefault="0037004C" w:rsidP="00EA4ADB">
      <w:pPr>
        <w:pStyle w:val="Default"/>
        <w:rPr>
          <w:bCs/>
          <w:sz w:val="22"/>
          <w:szCs w:val="22"/>
        </w:rPr>
      </w:pPr>
      <w:r>
        <w:rPr>
          <w:bCs/>
          <w:sz w:val="22"/>
          <w:szCs w:val="22"/>
        </w:rPr>
        <w:t>With respect to m</w:t>
      </w:r>
      <w:r w:rsidR="003A38ED" w:rsidRPr="00A356F2">
        <w:rPr>
          <w:bCs/>
          <w:sz w:val="22"/>
          <w:szCs w:val="22"/>
        </w:rPr>
        <w:t>easures</w:t>
      </w:r>
      <w:r>
        <w:rPr>
          <w:bCs/>
          <w:sz w:val="22"/>
          <w:szCs w:val="22"/>
        </w:rPr>
        <w:t xml:space="preserve"> of s</w:t>
      </w:r>
      <w:r w:rsidR="00EA4ADB" w:rsidRPr="00A356F2">
        <w:rPr>
          <w:bCs/>
          <w:sz w:val="22"/>
          <w:szCs w:val="22"/>
        </w:rPr>
        <w:t>uccess</w:t>
      </w:r>
      <w:r w:rsidR="003A38ED" w:rsidRPr="00A356F2">
        <w:rPr>
          <w:bCs/>
          <w:sz w:val="22"/>
          <w:szCs w:val="22"/>
        </w:rPr>
        <w:t>, the Collaborative insists that</w:t>
      </w:r>
      <w:r w:rsidR="00E17DF7">
        <w:rPr>
          <w:bCs/>
          <w:sz w:val="22"/>
          <w:szCs w:val="22"/>
        </w:rPr>
        <w:t>:</w:t>
      </w:r>
      <w:r w:rsidR="003A38ED" w:rsidRPr="00A356F2">
        <w:rPr>
          <w:bCs/>
          <w:sz w:val="22"/>
          <w:szCs w:val="22"/>
        </w:rPr>
        <w:t xml:space="preserve"> </w:t>
      </w:r>
    </w:p>
    <w:p w14:paraId="5D974924" w14:textId="77777777" w:rsidR="003A38ED" w:rsidRDefault="003A38ED" w:rsidP="00EA4ADB">
      <w:pPr>
        <w:pStyle w:val="Default"/>
        <w:rPr>
          <w:b/>
          <w:bCs/>
          <w:sz w:val="22"/>
          <w:szCs w:val="22"/>
        </w:rPr>
      </w:pPr>
    </w:p>
    <w:p w14:paraId="259A478F" w14:textId="702C3571" w:rsidR="003E2582" w:rsidRDefault="003A38ED" w:rsidP="003E2582">
      <w:pPr>
        <w:pStyle w:val="Default"/>
        <w:ind w:left="720"/>
        <w:rPr>
          <w:i/>
          <w:sz w:val="22"/>
          <w:szCs w:val="22"/>
        </w:rPr>
      </w:pPr>
      <w:r w:rsidRPr="00A356F2">
        <w:rPr>
          <w:bCs/>
          <w:i/>
          <w:sz w:val="22"/>
          <w:szCs w:val="22"/>
        </w:rPr>
        <w:t>Establishing</w:t>
      </w:r>
      <w:r w:rsidR="00EA4ADB" w:rsidRPr="00A356F2">
        <w:rPr>
          <w:bCs/>
          <w:i/>
          <w:sz w:val="22"/>
          <w:szCs w:val="22"/>
        </w:rPr>
        <w:t xml:space="preserve"> key measures by which to gauge success over time is a critical step in evaluating progress and informing policy and practice decisions</w:t>
      </w:r>
      <w:r w:rsidR="00EA4ADB" w:rsidRPr="003A38ED">
        <w:rPr>
          <w:b/>
          <w:bCs/>
          <w:i/>
          <w:sz w:val="22"/>
          <w:szCs w:val="22"/>
        </w:rPr>
        <w:t xml:space="preserve">. </w:t>
      </w:r>
      <w:r w:rsidR="00EA4ADB" w:rsidRPr="003A38ED">
        <w:rPr>
          <w:i/>
          <w:sz w:val="22"/>
          <w:szCs w:val="22"/>
        </w:rPr>
        <w:t>As with most institutional policy issues, an array of qualitative and quantitative measures likely should inform judgments about success – all rooted in an institution’s unique mission and context.</w:t>
      </w:r>
      <w:r w:rsidR="003E2582">
        <w:rPr>
          <w:rStyle w:val="FootnoteReference"/>
          <w:i/>
          <w:sz w:val="22"/>
          <w:szCs w:val="22"/>
        </w:rPr>
        <w:footnoteReference w:id="10"/>
      </w:r>
      <w:r w:rsidR="00EA4ADB" w:rsidRPr="003A38ED">
        <w:rPr>
          <w:i/>
          <w:sz w:val="22"/>
          <w:szCs w:val="22"/>
        </w:rPr>
        <w:t xml:space="preserve"> </w:t>
      </w:r>
    </w:p>
    <w:p w14:paraId="707F5A87" w14:textId="77777777" w:rsidR="003E2582" w:rsidRDefault="003E2582" w:rsidP="003E2582">
      <w:pPr>
        <w:pStyle w:val="Default"/>
        <w:ind w:left="720"/>
        <w:rPr>
          <w:i/>
          <w:sz w:val="22"/>
          <w:szCs w:val="22"/>
        </w:rPr>
      </w:pPr>
    </w:p>
    <w:p w14:paraId="181D2A03" w14:textId="36EBB4EE" w:rsidR="00EA4ADB" w:rsidRPr="003E2582" w:rsidRDefault="00E17DF7" w:rsidP="003E2582">
      <w:pPr>
        <w:pStyle w:val="Default"/>
        <w:rPr>
          <w:sz w:val="22"/>
          <w:szCs w:val="22"/>
        </w:rPr>
      </w:pPr>
      <w:r>
        <w:rPr>
          <w:sz w:val="22"/>
          <w:szCs w:val="22"/>
        </w:rPr>
        <w:t xml:space="preserve">It </w:t>
      </w:r>
      <w:r w:rsidR="003E2582">
        <w:rPr>
          <w:sz w:val="22"/>
          <w:szCs w:val="22"/>
        </w:rPr>
        <w:t>go</w:t>
      </w:r>
      <w:r>
        <w:rPr>
          <w:sz w:val="22"/>
          <w:szCs w:val="22"/>
        </w:rPr>
        <w:t>es</w:t>
      </w:r>
      <w:r w:rsidR="003E2582">
        <w:rPr>
          <w:sz w:val="22"/>
          <w:szCs w:val="22"/>
        </w:rPr>
        <w:t xml:space="preserve"> on </w:t>
      </w:r>
      <w:r w:rsidR="003E2582" w:rsidRPr="003E2582">
        <w:rPr>
          <w:sz w:val="22"/>
          <w:szCs w:val="22"/>
        </w:rPr>
        <w:t>further</w:t>
      </w:r>
      <w:r w:rsidR="003E2582">
        <w:rPr>
          <w:sz w:val="22"/>
          <w:szCs w:val="22"/>
        </w:rPr>
        <w:t xml:space="preserve"> to identify</w:t>
      </w:r>
      <w:r w:rsidR="003E2582" w:rsidRPr="003E2582">
        <w:rPr>
          <w:sz w:val="22"/>
          <w:szCs w:val="22"/>
        </w:rPr>
        <w:t xml:space="preserve"> </w:t>
      </w:r>
      <w:r w:rsidR="003E2582">
        <w:rPr>
          <w:sz w:val="22"/>
          <w:szCs w:val="22"/>
        </w:rPr>
        <w:t>a</w:t>
      </w:r>
      <w:r w:rsidR="00EA4ADB" w:rsidRPr="003E2582">
        <w:rPr>
          <w:sz w:val="22"/>
          <w:szCs w:val="22"/>
        </w:rPr>
        <w:t xml:space="preserve">t least three dimensions of diversity </w:t>
      </w:r>
      <w:r w:rsidR="003E2582">
        <w:rPr>
          <w:sz w:val="22"/>
          <w:szCs w:val="22"/>
        </w:rPr>
        <w:t xml:space="preserve">that </w:t>
      </w:r>
      <w:r w:rsidR="00EA4ADB" w:rsidRPr="003E2582">
        <w:rPr>
          <w:sz w:val="22"/>
          <w:szCs w:val="22"/>
        </w:rPr>
        <w:t>should inform what success looks like</w:t>
      </w:r>
      <w:r w:rsidR="003E2582">
        <w:rPr>
          <w:sz w:val="22"/>
          <w:szCs w:val="22"/>
        </w:rPr>
        <w:t xml:space="preserve"> in </w:t>
      </w:r>
      <w:r>
        <w:rPr>
          <w:sz w:val="22"/>
          <w:szCs w:val="22"/>
        </w:rPr>
        <w:t>an</w:t>
      </w:r>
      <w:r w:rsidR="003E2582">
        <w:rPr>
          <w:sz w:val="22"/>
          <w:szCs w:val="22"/>
        </w:rPr>
        <w:t xml:space="preserve"> institution</w:t>
      </w:r>
      <w:r w:rsidR="00EA4ADB" w:rsidRPr="003E2582">
        <w:rPr>
          <w:sz w:val="22"/>
          <w:szCs w:val="22"/>
        </w:rPr>
        <w:t xml:space="preserve">: </w:t>
      </w:r>
    </w:p>
    <w:p w14:paraId="31E180C5" w14:textId="77777777" w:rsidR="00EA4ADB" w:rsidRPr="003A38ED" w:rsidRDefault="00EA4ADB" w:rsidP="003A38ED">
      <w:pPr>
        <w:pStyle w:val="Default"/>
        <w:spacing w:after="17"/>
        <w:ind w:left="2160"/>
        <w:rPr>
          <w:i/>
          <w:sz w:val="22"/>
          <w:szCs w:val="22"/>
        </w:rPr>
      </w:pPr>
      <w:r w:rsidRPr="003A38ED">
        <w:rPr>
          <w:i/>
          <w:sz w:val="22"/>
          <w:szCs w:val="22"/>
        </w:rPr>
        <w:t xml:space="preserve">1. Compositional diversity (which may include a “critical mass” of underrepresented minority students); </w:t>
      </w:r>
    </w:p>
    <w:p w14:paraId="3315CA94" w14:textId="77777777" w:rsidR="00EA4ADB" w:rsidRPr="003A38ED" w:rsidRDefault="00EA4ADB" w:rsidP="003A38ED">
      <w:pPr>
        <w:pStyle w:val="Default"/>
        <w:spacing w:after="17"/>
        <w:ind w:left="2160"/>
        <w:rPr>
          <w:i/>
          <w:sz w:val="22"/>
          <w:szCs w:val="22"/>
        </w:rPr>
      </w:pPr>
      <w:r w:rsidRPr="003A38ED">
        <w:rPr>
          <w:i/>
          <w:sz w:val="22"/>
          <w:szCs w:val="22"/>
        </w:rPr>
        <w:lastRenderedPageBreak/>
        <w:t xml:space="preserve">2. Diversity-related curricular and extra-curricular programming (e.g., cultural awareness workshops, core diversity requirements in general education courses, ethnic studies courses, etc.); and </w:t>
      </w:r>
    </w:p>
    <w:p w14:paraId="66094E67" w14:textId="507890D3" w:rsidR="00EA4ADB" w:rsidRPr="003A38ED" w:rsidRDefault="00EA4ADB" w:rsidP="003A38ED">
      <w:pPr>
        <w:pStyle w:val="Default"/>
        <w:ind w:left="2160"/>
        <w:rPr>
          <w:i/>
          <w:sz w:val="22"/>
          <w:szCs w:val="22"/>
        </w:rPr>
      </w:pPr>
      <w:r w:rsidRPr="003A38ED">
        <w:rPr>
          <w:i/>
          <w:sz w:val="22"/>
          <w:szCs w:val="22"/>
        </w:rPr>
        <w:t>3. Diverse interactions, characterized by students’ exchanges with racially and ethnically diverse people as well as with diverse ideas, information, and experiences.</w:t>
      </w:r>
      <w:r w:rsidR="003E2582">
        <w:rPr>
          <w:rStyle w:val="FootnoteReference"/>
          <w:i/>
          <w:sz w:val="22"/>
          <w:szCs w:val="22"/>
        </w:rPr>
        <w:footnoteReference w:id="11"/>
      </w:r>
      <w:r w:rsidRPr="003A38ED">
        <w:rPr>
          <w:i/>
          <w:sz w:val="22"/>
          <w:szCs w:val="22"/>
        </w:rPr>
        <w:t xml:space="preserve"> </w:t>
      </w:r>
    </w:p>
    <w:p w14:paraId="762FCCDE" w14:textId="77777777" w:rsidR="00A356F2" w:rsidRDefault="00A356F2" w:rsidP="00EA4ADB">
      <w:pPr>
        <w:pStyle w:val="Default"/>
        <w:rPr>
          <w:bCs/>
          <w:sz w:val="22"/>
          <w:szCs w:val="22"/>
        </w:rPr>
      </w:pPr>
    </w:p>
    <w:p w14:paraId="22A9CA6F" w14:textId="7D05BA69" w:rsidR="00A356F2" w:rsidRDefault="00A356F2" w:rsidP="00EA4ADB">
      <w:pPr>
        <w:pStyle w:val="Default"/>
        <w:rPr>
          <w:bCs/>
          <w:sz w:val="22"/>
          <w:szCs w:val="22"/>
        </w:rPr>
      </w:pPr>
      <w:r>
        <w:rPr>
          <w:bCs/>
          <w:sz w:val="22"/>
          <w:szCs w:val="22"/>
        </w:rPr>
        <w:t xml:space="preserve">However, I believe </w:t>
      </w:r>
      <w:r w:rsidR="003E2582" w:rsidRPr="00A356F2">
        <w:rPr>
          <w:bCs/>
          <w:sz w:val="22"/>
          <w:szCs w:val="22"/>
        </w:rPr>
        <w:t xml:space="preserve">that </w:t>
      </w:r>
      <w:r>
        <w:rPr>
          <w:bCs/>
          <w:sz w:val="22"/>
          <w:szCs w:val="22"/>
        </w:rPr>
        <w:t xml:space="preserve">there is a fourth </w:t>
      </w:r>
      <w:r w:rsidRPr="00A356F2">
        <w:rPr>
          <w:bCs/>
          <w:sz w:val="22"/>
          <w:szCs w:val="22"/>
        </w:rPr>
        <w:t>dimension</w:t>
      </w:r>
      <w:r w:rsidR="00090078">
        <w:rPr>
          <w:bCs/>
          <w:sz w:val="22"/>
          <w:szCs w:val="22"/>
        </w:rPr>
        <w:t xml:space="preserve">, not mentioned by the </w:t>
      </w:r>
      <w:r w:rsidR="007B6506">
        <w:rPr>
          <w:bCs/>
          <w:sz w:val="22"/>
          <w:szCs w:val="22"/>
        </w:rPr>
        <w:t xml:space="preserve">Collaborative, </w:t>
      </w:r>
      <w:r w:rsidR="001806D4">
        <w:rPr>
          <w:bCs/>
          <w:sz w:val="22"/>
          <w:szCs w:val="22"/>
        </w:rPr>
        <w:t xml:space="preserve">but </w:t>
      </w:r>
      <w:r w:rsidR="007B6506" w:rsidRPr="00A356F2">
        <w:rPr>
          <w:bCs/>
          <w:sz w:val="22"/>
          <w:szCs w:val="22"/>
        </w:rPr>
        <w:t>which</w:t>
      </w:r>
      <w:r w:rsidRPr="00A356F2">
        <w:rPr>
          <w:bCs/>
          <w:sz w:val="22"/>
          <w:szCs w:val="22"/>
        </w:rPr>
        <w:t xml:space="preserve"> is critical</w:t>
      </w:r>
      <w:r>
        <w:rPr>
          <w:bCs/>
          <w:sz w:val="22"/>
          <w:szCs w:val="22"/>
        </w:rPr>
        <w:t xml:space="preserve"> to determining success:</w:t>
      </w:r>
    </w:p>
    <w:p w14:paraId="0E11BFEE" w14:textId="76622B91" w:rsidR="00EA4ADB" w:rsidRPr="007B6506" w:rsidRDefault="00A356F2" w:rsidP="00A356F2">
      <w:pPr>
        <w:pStyle w:val="Default"/>
        <w:ind w:left="2160"/>
        <w:rPr>
          <w:b/>
          <w:bCs/>
          <w:i/>
          <w:sz w:val="22"/>
          <w:szCs w:val="22"/>
        </w:rPr>
      </w:pPr>
      <w:r w:rsidRPr="007B6506">
        <w:rPr>
          <w:b/>
          <w:bCs/>
          <w:i/>
          <w:sz w:val="22"/>
          <w:szCs w:val="22"/>
        </w:rPr>
        <w:t>4. Compositional diversity of faculty</w:t>
      </w:r>
      <w:r w:rsidR="00090078" w:rsidRPr="007B6506">
        <w:rPr>
          <w:b/>
          <w:bCs/>
          <w:i/>
          <w:sz w:val="22"/>
          <w:szCs w:val="22"/>
        </w:rPr>
        <w:t>,</w:t>
      </w:r>
      <w:r w:rsidRPr="007B6506">
        <w:rPr>
          <w:b/>
          <w:bCs/>
          <w:i/>
          <w:sz w:val="22"/>
          <w:szCs w:val="22"/>
        </w:rPr>
        <w:t xml:space="preserve"> staff</w:t>
      </w:r>
      <w:r w:rsidR="007B6506" w:rsidRPr="007B6506">
        <w:rPr>
          <w:b/>
          <w:bCs/>
          <w:i/>
          <w:sz w:val="22"/>
          <w:szCs w:val="22"/>
        </w:rPr>
        <w:t xml:space="preserve"> and administration</w:t>
      </w:r>
      <w:r w:rsidRPr="007B6506">
        <w:rPr>
          <w:b/>
          <w:bCs/>
          <w:i/>
          <w:sz w:val="22"/>
          <w:szCs w:val="22"/>
        </w:rPr>
        <w:t xml:space="preserve"> (which may include a “critical mass” of racial and ethnic underrepresented people. </w:t>
      </w:r>
    </w:p>
    <w:p w14:paraId="495B000F" w14:textId="77777777" w:rsidR="00A356F2" w:rsidRDefault="00A356F2" w:rsidP="00EA4ADB">
      <w:pPr>
        <w:pStyle w:val="Default"/>
        <w:rPr>
          <w:bCs/>
          <w:sz w:val="22"/>
          <w:szCs w:val="22"/>
        </w:rPr>
      </w:pPr>
    </w:p>
    <w:p w14:paraId="55749605" w14:textId="3E3E60C8" w:rsidR="00090078" w:rsidRDefault="00090078" w:rsidP="00090078">
      <w:pPr>
        <w:pStyle w:val="Default"/>
        <w:rPr>
          <w:sz w:val="22"/>
          <w:szCs w:val="22"/>
        </w:rPr>
      </w:pPr>
      <w:r>
        <w:rPr>
          <w:bCs/>
          <w:sz w:val="22"/>
          <w:szCs w:val="22"/>
        </w:rPr>
        <w:t>Again, the Collaborative provides us with guidance on k</w:t>
      </w:r>
      <w:r w:rsidR="00EA4ADB" w:rsidRPr="00090078">
        <w:rPr>
          <w:bCs/>
          <w:sz w:val="22"/>
          <w:szCs w:val="22"/>
        </w:rPr>
        <w:t>ey questions</w:t>
      </w:r>
      <w:r w:rsidR="00EA4ADB">
        <w:rPr>
          <w:b/>
          <w:bCs/>
          <w:sz w:val="22"/>
          <w:szCs w:val="22"/>
        </w:rPr>
        <w:t xml:space="preserve"> </w:t>
      </w:r>
      <w:r w:rsidRPr="00090078">
        <w:rPr>
          <w:bCs/>
          <w:sz w:val="22"/>
          <w:szCs w:val="22"/>
        </w:rPr>
        <w:t xml:space="preserve">for </w:t>
      </w:r>
      <w:r w:rsidR="00C47B91">
        <w:rPr>
          <w:bCs/>
          <w:sz w:val="22"/>
          <w:szCs w:val="22"/>
        </w:rPr>
        <w:t>our</w:t>
      </w:r>
      <w:r w:rsidRPr="00090078">
        <w:rPr>
          <w:bCs/>
          <w:sz w:val="22"/>
          <w:szCs w:val="22"/>
        </w:rPr>
        <w:t xml:space="preserve"> </w:t>
      </w:r>
      <w:r w:rsidR="00C47B91">
        <w:rPr>
          <w:bCs/>
          <w:sz w:val="22"/>
          <w:szCs w:val="22"/>
        </w:rPr>
        <w:t>t</w:t>
      </w:r>
      <w:r w:rsidRPr="00090078">
        <w:rPr>
          <w:bCs/>
          <w:sz w:val="22"/>
          <w:szCs w:val="22"/>
        </w:rPr>
        <w:t xml:space="preserve">ask </w:t>
      </w:r>
      <w:r w:rsidR="00C47B91">
        <w:rPr>
          <w:bCs/>
          <w:sz w:val="22"/>
          <w:szCs w:val="22"/>
        </w:rPr>
        <w:t>f</w:t>
      </w:r>
      <w:r w:rsidRPr="00090078">
        <w:rPr>
          <w:bCs/>
          <w:sz w:val="22"/>
          <w:szCs w:val="22"/>
        </w:rPr>
        <w:t>orce</w:t>
      </w:r>
      <w:r>
        <w:rPr>
          <w:b/>
          <w:bCs/>
          <w:sz w:val="22"/>
          <w:szCs w:val="22"/>
        </w:rPr>
        <w:t xml:space="preserve"> </w:t>
      </w:r>
      <w:r w:rsidRPr="00090078">
        <w:rPr>
          <w:bCs/>
          <w:sz w:val="22"/>
          <w:szCs w:val="22"/>
        </w:rPr>
        <w:t>to ask:</w:t>
      </w:r>
    </w:p>
    <w:p w14:paraId="5068AA06" w14:textId="7276D3F8" w:rsidR="00EA4ADB" w:rsidRDefault="00EA4ADB" w:rsidP="00090078">
      <w:pPr>
        <w:pStyle w:val="Default"/>
        <w:rPr>
          <w:sz w:val="22"/>
          <w:szCs w:val="22"/>
        </w:rPr>
      </w:pPr>
      <w:r>
        <w:rPr>
          <w:sz w:val="22"/>
          <w:szCs w:val="22"/>
        </w:rPr>
        <w:t xml:space="preserve">What does success look like, both institution-wide and within specific schools and departments? </w:t>
      </w:r>
    </w:p>
    <w:p w14:paraId="36F9AE77" w14:textId="733312B4" w:rsidR="00EA4ADB" w:rsidRDefault="00EA4ADB" w:rsidP="00090078">
      <w:pPr>
        <w:pStyle w:val="Default"/>
        <w:spacing w:after="30"/>
        <w:rPr>
          <w:sz w:val="22"/>
          <w:szCs w:val="22"/>
        </w:rPr>
      </w:pPr>
      <w:r>
        <w:rPr>
          <w:sz w:val="22"/>
          <w:szCs w:val="22"/>
        </w:rPr>
        <w:t xml:space="preserve">How will the institution and its units know when success has been achieved? </w:t>
      </w:r>
      <w:r w:rsidR="00090078">
        <w:rPr>
          <w:sz w:val="22"/>
          <w:szCs w:val="22"/>
        </w:rPr>
        <w:t>What</w:t>
      </w:r>
      <w:r>
        <w:rPr>
          <w:sz w:val="22"/>
          <w:szCs w:val="22"/>
        </w:rPr>
        <w:t xml:space="preserve"> data and information should inform these decisions? How does the institution’s unique mission and context inform this analysis?</w:t>
      </w:r>
      <w:r w:rsidR="00090078">
        <w:rPr>
          <w:rStyle w:val="FootnoteReference"/>
          <w:sz w:val="22"/>
          <w:szCs w:val="22"/>
        </w:rPr>
        <w:footnoteReference w:id="12"/>
      </w:r>
      <w:r>
        <w:rPr>
          <w:sz w:val="22"/>
          <w:szCs w:val="22"/>
        </w:rPr>
        <w:t xml:space="preserve"> </w:t>
      </w:r>
    </w:p>
    <w:p w14:paraId="23A6D051" w14:textId="77777777" w:rsidR="00EA4ADB" w:rsidRDefault="00EA4ADB" w:rsidP="00EA4ADB">
      <w:pPr>
        <w:pStyle w:val="Default"/>
        <w:rPr>
          <w:sz w:val="22"/>
          <w:szCs w:val="22"/>
        </w:rPr>
      </w:pPr>
    </w:p>
    <w:p w14:paraId="6DF7E9E1" w14:textId="502B6A5D" w:rsidR="00090078" w:rsidRDefault="00090078" w:rsidP="00EA4ADB">
      <w:pPr>
        <w:pStyle w:val="Default"/>
        <w:rPr>
          <w:sz w:val="22"/>
          <w:szCs w:val="22"/>
        </w:rPr>
      </w:pPr>
      <w:r>
        <w:rPr>
          <w:sz w:val="22"/>
          <w:szCs w:val="22"/>
        </w:rPr>
        <w:t>These questions and the answers they elicit are particularly imp</w:t>
      </w:r>
      <w:r w:rsidR="007B6506">
        <w:rPr>
          <w:sz w:val="22"/>
          <w:szCs w:val="22"/>
        </w:rPr>
        <w:t>ortant for the fourth dimension: the compositional diversity of faculty, staff and administration.</w:t>
      </w:r>
      <w:r>
        <w:rPr>
          <w:sz w:val="22"/>
          <w:szCs w:val="22"/>
        </w:rPr>
        <w:t xml:space="preserve"> </w:t>
      </w:r>
      <w:r w:rsidR="007B6506">
        <w:rPr>
          <w:sz w:val="22"/>
          <w:szCs w:val="22"/>
        </w:rPr>
        <w:t xml:space="preserve">Which colleges, schools, divisions, departments and units reflect the compositional diversity </w:t>
      </w:r>
      <w:r w:rsidR="008D3B47">
        <w:rPr>
          <w:sz w:val="22"/>
          <w:szCs w:val="22"/>
        </w:rPr>
        <w:t xml:space="preserve">of faculty, staff and administration </w:t>
      </w:r>
      <w:r w:rsidR="007B6506">
        <w:rPr>
          <w:sz w:val="22"/>
          <w:szCs w:val="22"/>
        </w:rPr>
        <w:t xml:space="preserve">to which we aspire? Why? Which colleges, schools, divisions and units do not reflect the compositional diversity to which we aspire? Why not? How can we effect the change we seek? How can we model that change? </w:t>
      </w:r>
    </w:p>
    <w:p w14:paraId="57239F23" w14:textId="02D099D2" w:rsidR="00E17DF7" w:rsidRDefault="00E17DF7" w:rsidP="00EA4ADB">
      <w:pPr>
        <w:pStyle w:val="Default"/>
        <w:rPr>
          <w:sz w:val="22"/>
          <w:szCs w:val="22"/>
        </w:rPr>
      </w:pPr>
      <w:r>
        <w:rPr>
          <w:sz w:val="22"/>
          <w:szCs w:val="22"/>
        </w:rPr>
        <w:t>Lastly, how can we sustain it?</w:t>
      </w:r>
    </w:p>
    <w:p w14:paraId="1F3DC099" w14:textId="77777777" w:rsidR="00A07B75" w:rsidRDefault="00A07B75" w:rsidP="00EA4ADB">
      <w:pPr>
        <w:pStyle w:val="Default"/>
        <w:rPr>
          <w:sz w:val="22"/>
          <w:szCs w:val="22"/>
        </w:rPr>
      </w:pPr>
    </w:p>
    <w:p w14:paraId="1F126EFF" w14:textId="4BC0E5B3" w:rsidR="00A07B75" w:rsidRDefault="0041662F" w:rsidP="00EA4ADB">
      <w:pPr>
        <w:pStyle w:val="Default"/>
        <w:rPr>
          <w:sz w:val="22"/>
          <w:szCs w:val="22"/>
        </w:rPr>
      </w:pPr>
      <w:r>
        <w:rPr>
          <w:sz w:val="22"/>
          <w:szCs w:val="22"/>
        </w:rPr>
        <w:t>In August</w:t>
      </w:r>
      <w:r w:rsidR="00C47B91">
        <w:rPr>
          <w:sz w:val="22"/>
          <w:szCs w:val="22"/>
        </w:rPr>
        <w:t xml:space="preserve"> 2015</w:t>
      </w:r>
      <w:r>
        <w:rPr>
          <w:sz w:val="22"/>
          <w:szCs w:val="22"/>
        </w:rPr>
        <w:t>, t</w:t>
      </w:r>
      <w:r w:rsidR="00A07B75">
        <w:rPr>
          <w:sz w:val="22"/>
          <w:szCs w:val="22"/>
        </w:rPr>
        <w:t xml:space="preserve">he Council for Affirmative Action </w:t>
      </w:r>
      <w:r>
        <w:rPr>
          <w:sz w:val="22"/>
          <w:szCs w:val="22"/>
        </w:rPr>
        <w:t>submitted</w:t>
      </w:r>
      <w:r w:rsidR="00A07B75">
        <w:rPr>
          <w:sz w:val="22"/>
          <w:szCs w:val="22"/>
        </w:rPr>
        <w:t xml:space="preserve"> recommendation</w:t>
      </w:r>
      <w:r>
        <w:rPr>
          <w:sz w:val="22"/>
          <w:szCs w:val="22"/>
        </w:rPr>
        <w:t>s</w:t>
      </w:r>
      <w:r w:rsidR="00A07B75">
        <w:rPr>
          <w:sz w:val="22"/>
          <w:szCs w:val="22"/>
        </w:rPr>
        <w:t xml:space="preserve"> to </w:t>
      </w:r>
      <w:r>
        <w:rPr>
          <w:sz w:val="22"/>
          <w:szCs w:val="22"/>
        </w:rPr>
        <w:t>P</w:t>
      </w:r>
      <w:r w:rsidR="00A07B75">
        <w:rPr>
          <w:sz w:val="22"/>
          <w:szCs w:val="22"/>
        </w:rPr>
        <w:t>resident</w:t>
      </w:r>
      <w:r>
        <w:rPr>
          <w:sz w:val="22"/>
          <w:szCs w:val="22"/>
        </w:rPr>
        <w:t xml:space="preserve"> Nelson that included</w:t>
      </w:r>
      <w:r w:rsidR="00A07B75">
        <w:rPr>
          <w:sz w:val="22"/>
          <w:szCs w:val="22"/>
        </w:rPr>
        <w:t xml:space="preserve"> the creation and appointment of a campus Diversity Officer</w:t>
      </w:r>
      <w:r w:rsidR="00C47B91">
        <w:rPr>
          <w:sz w:val="22"/>
          <w:szCs w:val="22"/>
        </w:rPr>
        <w:t xml:space="preserve"> position</w:t>
      </w:r>
      <w:r w:rsidR="00A07B75">
        <w:rPr>
          <w:sz w:val="22"/>
          <w:szCs w:val="22"/>
        </w:rPr>
        <w:t>.</w:t>
      </w:r>
      <w:r>
        <w:rPr>
          <w:sz w:val="22"/>
          <w:szCs w:val="22"/>
        </w:rPr>
        <w:t xml:space="preserve"> This position is modeled after a similar position at CSU, East </w:t>
      </w:r>
      <w:r w:rsidR="00C47B91">
        <w:rPr>
          <w:sz w:val="22"/>
          <w:szCs w:val="22"/>
        </w:rPr>
        <w:t>Bay, which</w:t>
      </w:r>
      <w:r>
        <w:rPr>
          <w:sz w:val="22"/>
          <w:szCs w:val="22"/>
        </w:rPr>
        <w:t xml:space="preserve"> has proven to be effective in </w:t>
      </w:r>
      <w:r w:rsidR="00C47B91">
        <w:rPr>
          <w:sz w:val="22"/>
          <w:szCs w:val="22"/>
        </w:rPr>
        <w:t xml:space="preserve">responding to </w:t>
      </w:r>
      <w:r>
        <w:rPr>
          <w:sz w:val="22"/>
          <w:szCs w:val="22"/>
        </w:rPr>
        <w:t>the dearth of underrepresented faculty and staff within colleges, schools, departments and programs on that campus.</w:t>
      </w:r>
      <w:r w:rsidR="00C47B91">
        <w:rPr>
          <w:sz w:val="22"/>
          <w:szCs w:val="22"/>
        </w:rPr>
        <w:t xml:space="preserve"> Recruiting and hiring </w:t>
      </w:r>
      <w:r w:rsidR="004B073A">
        <w:rPr>
          <w:sz w:val="22"/>
          <w:szCs w:val="22"/>
        </w:rPr>
        <w:t xml:space="preserve">more racial and ethnic underrepresented faculty </w:t>
      </w:r>
      <w:r w:rsidR="00A44F79">
        <w:rPr>
          <w:sz w:val="22"/>
          <w:szCs w:val="22"/>
        </w:rPr>
        <w:t xml:space="preserve">remains </w:t>
      </w:r>
      <w:r w:rsidR="004B073A">
        <w:rPr>
          <w:sz w:val="22"/>
          <w:szCs w:val="22"/>
        </w:rPr>
        <w:t xml:space="preserve">a </w:t>
      </w:r>
      <w:r w:rsidR="00A44F79">
        <w:rPr>
          <w:sz w:val="22"/>
          <w:szCs w:val="22"/>
        </w:rPr>
        <w:t>critical</w:t>
      </w:r>
      <w:r w:rsidR="004B073A">
        <w:rPr>
          <w:sz w:val="22"/>
          <w:szCs w:val="22"/>
        </w:rPr>
        <w:t xml:space="preserve"> </w:t>
      </w:r>
      <w:r w:rsidR="00A44F79">
        <w:rPr>
          <w:sz w:val="22"/>
          <w:szCs w:val="22"/>
        </w:rPr>
        <w:t>test</w:t>
      </w:r>
      <w:r w:rsidR="004B073A">
        <w:rPr>
          <w:sz w:val="22"/>
          <w:szCs w:val="22"/>
        </w:rPr>
        <w:t xml:space="preserve"> for our campus. </w:t>
      </w:r>
      <w:r>
        <w:rPr>
          <w:sz w:val="22"/>
          <w:szCs w:val="22"/>
        </w:rPr>
        <w:t xml:space="preserve"> </w:t>
      </w:r>
      <w:r w:rsidR="00C47B91">
        <w:rPr>
          <w:sz w:val="22"/>
          <w:szCs w:val="22"/>
        </w:rPr>
        <w:t xml:space="preserve">Our task force should support this very concrete recommendation. </w:t>
      </w:r>
    </w:p>
    <w:p w14:paraId="5FCE2891" w14:textId="77777777" w:rsidR="00E17DF7" w:rsidRDefault="00E17DF7" w:rsidP="00EA4ADB">
      <w:pPr>
        <w:pStyle w:val="Default"/>
        <w:rPr>
          <w:sz w:val="22"/>
          <w:szCs w:val="22"/>
        </w:rPr>
      </w:pPr>
    </w:p>
    <w:p w14:paraId="0B88EDA0" w14:textId="16E59D09" w:rsidR="00E17DF7" w:rsidRDefault="00E17DF7" w:rsidP="00EA4ADB">
      <w:pPr>
        <w:pStyle w:val="Default"/>
        <w:rPr>
          <w:sz w:val="22"/>
          <w:szCs w:val="22"/>
        </w:rPr>
      </w:pPr>
      <w:r>
        <w:rPr>
          <w:sz w:val="22"/>
          <w:szCs w:val="22"/>
        </w:rPr>
        <w:t xml:space="preserve">This is </w:t>
      </w:r>
      <w:r w:rsidR="001806D4">
        <w:rPr>
          <w:sz w:val="22"/>
          <w:szCs w:val="22"/>
        </w:rPr>
        <w:t>our</w:t>
      </w:r>
      <w:r>
        <w:rPr>
          <w:sz w:val="22"/>
          <w:szCs w:val="22"/>
        </w:rPr>
        <w:t xml:space="preserve"> challenge </w:t>
      </w:r>
      <w:r w:rsidR="001806D4">
        <w:rPr>
          <w:sz w:val="22"/>
          <w:szCs w:val="22"/>
        </w:rPr>
        <w:t>as a</w:t>
      </w:r>
      <w:r>
        <w:rPr>
          <w:sz w:val="22"/>
          <w:szCs w:val="22"/>
        </w:rPr>
        <w:t xml:space="preserve"> </w:t>
      </w:r>
      <w:r w:rsidR="00C47B91">
        <w:rPr>
          <w:sz w:val="22"/>
          <w:szCs w:val="22"/>
        </w:rPr>
        <w:t>t</w:t>
      </w:r>
      <w:r>
        <w:rPr>
          <w:sz w:val="22"/>
          <w:szCs w:val="22"/>
        </w:rPr>
        <w:t xml:space="preserve">ask </w:t>
      </w:r>
      <w:r w:rsidR="00C47B91">
        <w:rPr>
          <w:sz w:val="22"/>
          <w:szCs w:val="22"/>
        </w:rPr>
        <w:t>f</w:t>
      </w:r>
      <w:r>
        <w:rPr>
          <w:sz w:val="22"/>
          <w:szCs w:val="22"/>
        </w:rPr>
        <w:t>orce.</w:t>
      </w:r>
      <w:r w:rsidR="00D16CAC">
        <w:rPr>
          <w:sz w:val="22"/>
          <w:szCs w:val="22"/>
        </w:rPr>
        <w:t xml:space="preserve"> </w:t>
      </w:r>
      <w:r w:rsidR="001806D4">
        <w:rPr>
          <w:sz w:val="22"/>
          <w:szCs w:val="22"/>
        </w:rPr>
        <w:t xml:space="preserve">Our recommendations must be </w:t>
      </w:r>
      <w:r w:rsidR="00D16CAC">
        <w:rPr>
          <w:sz w:val="22"/>
          <w:szCs w:val="22"/>
        </w:rPr>
        <w:t>bold</w:t>
      </w:r>
      <w:r w:rsidR="001806D4">
        <w:rPr>
          <w:sz w:val="22"/>
          <w:szCs w:val="22"/>
        </w:rPr>
        <w:t xml:space="preserve">, </w:t>
      </w:r>
      <w:r w:rsidR="00D16CAC">
        <w:rPr>
          <w:sz w:val="22"/>
          <w:szCs w:val="22"/>
        </w:rPr>
        <w:t xml:space="preserve">concrete, </w:t>
      </w:r>
      <w:r w:rsidR="001806D4">
        <w:rPr>
          <w:sz w:val="22"/>
          <w:szCs w:val="22"/>
        </w:rPr>
        <w:t>direct</w:t>
      </w:r>
      <w:r w:rsidR="00D16CAC">
        <w:rPr>
          <w:sz w:val="22"/>
          <w:szCs w:val="22"/>
        </w:rPr>
        <w:t xml:space="preserve"> and action oriented</w:t>
      </w:r>
      <w:r w:rsidR="001806D4">
        <w:rPr>
          <w:sz w:val="22"/>
          <w:szCs w:val="22"/>
        </w:rPr>
        <w:t>, if we are to achieve our goal and meet the president’s charge.</w:t>
      </w:r>
      <w:r w:rsidR="00154CF4">
        <w:rPr>
          <w:sz w:val="22"/>
          <w:szCs w:val="22"/>
        </w:rPr>
        <w:t xml:space="preserve"> </w:t>
      </w:r>
    </w:p>
    <w:p w14:paraId="07A71E2A" w14:textId="77777777" w:rsidR="004B073A" w:rsidRDefault="004B073A" w:rsidP="00EA4ADB">
      <w:pPr>
        <w:pStyle w:val="Default"/>
        <w:rPr>
          <w:sz w:val="22"/>
          <w:szCs w:val="22"/>
        </w:rPr>
      </w:pPr>
    </w:p>
    <w:p w14:paraId="51927909" w14:textId="77777777" w:rsidR="00EA4ADB" w:rsidRDefault="00EA4ADB" w:rsidP="00EA4ADB">
      <w:pPr>
        <w:pStyle w:val="Default"/>
        <w:rPr>
          <w:sz w:val="22"/>
          <w:szCs w:val="22"/>
        </w:rPr>
      </w:pPr>
    </w:p>
    <w:p w14:paraId="03D4E353" w14:textId="77777777" w:rsidR="00E27C81" w:rsidRDefault="00E27C81" w:rsidP="00EA4ADB">
      <w:pPr>
        <w:pStyle w:val="Default"/>
        <w:rPr>
          <w:sz w:val="22"/>
          <w:szCs w:val="22"/>
        </w:rPr>
      </w:pPr>
    </w:p>
    <w:p w14:paraId="19219B74" w14:textId="379D7AFA" w:rsidR="00E27C81" w:rsidRDefault="00E27C81" w:rsidP="00EA4ADB">
      <w:pPr>
        <w:pStyle w:val="Default"/>
        <w:rPr>
          <w:sz w:val="22"/>
          <w:szCs w:val="22"/>
        </w:rPr>
      </w:pPr>
    </w:p>
    <w:p w14:paraId="4DD8FE06" w14:textId="77777777" w:rsidR="00D16CAC" w:rsidRDefault="00D16CAC" w:rsidP="00E27C81">
      <w:pPr>
        <w:rPr>
          <w:rFonts w:ascii="Calibri" w:hAnsi="Calibri" w:cs="Calibri"/>
          <w:color w:val="000000"/>
        </w:rPr>
      </w:pPr>
    </w:p>
    <w:p w14:paraId="2F839433" w14:textId="7A4223C8" w:rsidR="00E27C81" w:rsidRDefault="00154CF4" w:rsidP="00E27C81">
      <w:pPr>
        <w:rPr>
          <w:rFonts w:ascii="Calibri" w:hAnsi="Calibri" w:cs="Calibri"/>
          <w:color w:val="000000"/>
        </w:rPr>
      </w:pPr>
      <w:r>
        <w:rPr>
          <w:rFonts w:ascii="Calibri" w:hAnsi="Calibri" w:cs="Calibri"/>
          <w:color w:val="000000"/>
        </w:rPr>
        <w:t>Works Cited and Consulted:</w:t>
      </w:r>
    </w:p>
    <w:p w14:paraId="15DB17CC" w14:textId="36368B5A" w:rsidR="00154CF4" w:rsidRDefault="00154CF4" w:rsidP="00154CF4">
      <w:pPr>
        <w:pStyle w:val="Bibliography"/>
        <w:ind w:left="720" w:hanging="720"/>
        <w:rPr>
          <w:noProof/>
        </w:rPr>
      </w:pPr>
      <w:r>
        <w:rPr>
          <w:rFonts w:ascii="Calibri" w:hAnsi="Calibri" w:cs="Calibri"/>
          <w:color w:val="000000"/>
        </w:rPr>
        <w:fldChar w:fldCharType="begin"/>
      </w:r>
      <w:r>
        <w:rPr>
          <w:rFonts w:ascii="Calibri" w:hAnsi="Calibri" w:cs="Calibri"/>
          <w:color w:val="000000"/>
        </w:rPr>
        <w:instrText xml:space="preserve"> BIBLIOGRAPHY  \l 1033 </w:instrText>
      </w:r>
      <w:r>
        <w:rPr>
          <w:rFonts w:ascii="Calibri" w:hAnsi="Calibri" w:cs="Calibri"/>
          <w:color w:val="000000"/>
        </w:rPr>
        <w:fldChar w:fldCharType="separate"/>
      </w:r>
      <w:r>
        <w:rPr>
          <w:noProof/>
        </w:rPr>
        <w:t>Canton, C. E. (2002). From</w:t>
      </w:r>
      <w:r w:rsidR="00D16CAC">
        <w:rPr>
          <w:noProof/>
        </w:rPr>
        <w:t xml:space="preserve"> Slaveship to Scholarship. In</w:t>
      </w:r>
      <w:r>
        <w:rPr>
          <w:noProof/>
        </w:rPr>
        <w:t xml:space="preserve"> Lila Jacobs</w:t>
      </w:r>
      <w:r w:rsidR="00D16CAC">
        <w:rPr>
          <w:noProof/>
        </w:rPr>
        <w:t>, et.al.</w:t>
      </w:r>
      <w:r>
        <w:rPr>
          <w:noProof/>
        </w:rPr>
        <w:t xml:space="preserve">, </w:t>
      </w:r>
      <w:r>
        <w:rPr>
          <w:i/>
          <w:iCs/>
          <w:noProof/>
        </w:rPr>
        <w:t>The Politics of Survival in Academia: Narratives of Inequity, Resilience and Success</w:t>
      </w:r>
      <w:r>
        <w:rPr>
          <w:noProof/>
        </w:rPr>
        <w:t xml:space="preserve"> (pp. 15 - 32). Latham, MD: Rowman &amp; Littlefield Publishers, Inc.</w:t>
      </w:r>
    </w:p>
    <w:p w14:paraId="112CBB44" w14:textId="77777777" w:rsidR="00154CF4" w:rsidRDefault="00154CF4" w:rsidP="00154CF4">
      <w:pPr>
        <w:pStyle w:val="Bibliography"/>
        <w:ind w:left="720" w:hanging="720"/>
        <w:rPr>
          <w:noProof/>
        </w:rPr>
      </w:pPr>
      <w:r>
        <w:rPr>
          <w:noProof/>
        </w:rPr>
        <w:t xml:space="preserve">Canton, C. E. (2013, Spring). A Journey Into Change. </w:t>
      </w:r>
      <w:r>
        <w:rPr>
          <w:i/>
          <w:iCs/>
          <w:noProof/>
        </w:rPr>
        <w:t>California Faculty: The Magazine of the California Faculty Association</w:t>
      </w:r>
      <w:r>
        <w:rPr>
          <w:noProof/>
        </w:rPr>
        <w:t>, pp. 17-18.</w:t>
      </w:r>
    </w:p>
    <w:p w14:paraId="7C18C99F" w14:textId="1D4C237B" w:rsidR="00154CF4" w:rsidRDefault="00154CF4" w:rsidP="00154CF4">
      <w:pPr>
        <w:pStyle w:val="Bibliography"/>
        <w:ind w:left="720" w:hanging="720"/>
        <w:rPr>
          <w:noProof/>
        </w:rPr>
      </w:pPr>
      <w:r>
        <w:rPr>
          <w:noProof/>
        </w:rPr>
        <w:lastRenderedPageBreak/>
        <w:t xml:space="preserve">Collaborative, T. A. (May 2015). </w:t>
      </w:r>
      <w:r>
        <w:rPr>
          <w:i/>
          <w:iCs/>
          <w:noProof/>
        </w:rPr>
        <w:t>A Policy and Legal "Syllabus" for Diversity Programs at Colleges and Universities.</w:t>
      </w:r>
      <w:r>
        <w:rPr>
          <w:noProof/>
        </w:rPr>
        <w:t xml:space="preserve"> Washington, DC: College Board.</w:t>
      </w:r>
    </w:p>
    <w:p w14:paraId="5DFBDDDF" w14:textId="77777777" w:rsidR="00154CF4" w:rsidRDefault="00154CF4" w:rsidP="00154CF4">
      <w:pPr>
        <w:pStyle w:val="Bibliography"/>
        <w:ind w:left="720" w:hanging="720"/>
        <w:rPr>
          <w:noProof/>
        </w:rPr>
      </w:pPr>
      <w:r>
        <w:rPr>
          <w:noProof/>
        </w:rPr>
        <w:t xml:space="preserve">Kendall, F. E. (2006). </w:t>
      </w:r>
      <w:r>
        <w:rPr>
          <w:i/>
          <w:iCs/>
          <w:noProof/>
        </w:rPr>
        <w:t>Understanding White Privilege: Creating Pathways to Authentic Relationships Across Race.</w:t>
      </w:r>
      <w:r>
        <w:rPr>
          <w:noProof/>
        </w:rPr>
        <w:t xml:space="preserve"> New York, NY: Routledge.</w:t>
      </w:r>
    </w:p>
    <w:p w14:paraId="227B94E5" w14:textId="77777777" w:rsidR="00154CF4" w:rsidRDefault="00154CF4" w:rsidP="00154CF4">
      <w:pPr>
        <w:pStyle w:val="Bibliography"/>
        <w:ind w:left="720" w:hanging="720"/>
        <w:rPr>
          <w:noProof/>
        </w:rPr>
      </w:pPr>
      <w:r>
        <w:rPr>
          <w:noProof/>
        </w:rPr>
        <w:t xml:space="preserve">Merriam-Webster. (2015, November 14). </w:t>
      </w:r>
      <w:r>
        <w:rPr>
          <w:i/>
          <w:iCs/>
          <w:noProof/>
        </w:rPr>
        <w:t>Dictionary.</w:t>
      </w:r>
      <w:r>
        <w:rPr>
          <w:noProof/>
        </w:rPr>
        <w:t xml:space="preserve"> Retrieved November 14, 2015, from Merriam-Webster: http://www.merriam-webster.com/dictionary/diversity</w:t>
      </w:r>
    </w:p>
    <w:p w14:paraId="7A0BE9B5" w14:textId="77777777" w:rsidR="00154CF4" w:rsidRDefault="00154CF4" w:rsidP="00154CF4">
      <w:pPr>
        <w:pStyle w:val="Bibliography"/>
        <w:ind w:left="720" w:hanging="720"/>
        <w:rPr>
          <w:noProof/>
        </w:rPr>
      </w:pPr>
      <w:r>
        <w:rPr>
          <w:noProof/>
        </w:rPr>
        <w:t xml:space="preserve">Mills, C. W. (1997). </w:t>
      </w:r>
      <w:r>
        <w:rPr>
          <w:i/>
          <w:iCs/>
          <w:noProof/>
        </w:rPr>
        <w:t>The Racial Contract.</w:t>
      </w:r>
      <w:r>
        <w:rPr>
          <w:noProof/>
        </w:rPr>
        <w:t xml:space="preserve"> Ithica, NY: Cornell University Press.</w:t>
      </w:r>
    </w:p>
    <w:p w14:paraId="3611C0C3" w14:textId="77777777" w:rsidR="00154CF4" w:rsidRDefault="00154CF4" w:rsidP="00154CF4">
      <w:pPr>
        <w:pStyle w:val="Bibliography"/>
        <w:ind w:left="720" w:hanging="720"/>
        <w:rPr>
          <w:noProof/>
        </w:rPr>
      </w:pPr>
      <w:r>
        <w:rPr>
          <w:noProof/>
        </w:rPr>
        <w:t xml:space="preserve">Roderick, E. (2011). Difficult Dialogues and Transformational Change Through Cross-Cultural Faculty Development. In J. M. Groccia, </w:t>
      </w:r>
      <w:r>
        <w:rPr>
          <w:i/>
          <w:iCs/>
          <w:noProof/>
        </w:rPr>
        <w:t>To Improve the Academy: Resources for Faculty, Instructional, and Organizational Development</w:t>
      </w:r>
      <w:r>
        <w:rPr>
          <w:noProof/>
        </w:rPr>
        <w:t xml:space="preserve"> (pp. 230-244). San Francisco, CA: Jossey-Bass.</w:t>
      </w:r>
    </w:p>
    <w:p w14:paraId="35E055A3" w14:textId="3945B857" w:rsidR="00154CF4" w:rsidRDefault="00154CF4" w:rsidP="00154CF4">
      <w:pPr>
        <w:rPr>
          <w:rFonts w:ascii="Calibri" w:hAnsi="Calibri" w:cs="Calibri"/>
          <w:color w:val="000000"/>
        </w:rPr>
      </w:pPr>
      <w:r>
        <w:rPr>
          <w:rFonts w:ascii="Calibri" w:hAnsi="Calibri" w:cs="Calibri"/>
          <w:color w:val="000000"/>
        </w:rPr>
        <w:fldChar w:fldCharType="end"/>
      </w:r>
    </w:p>
    <w:sectPr w:rsidR="00154C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E2446" w14:textId="77777777" w:rsidR="00DA474B" w:rsidRDefault="00DA474B" w:rsidP="00A9613D">
      <w:pPr>
        <w:spacing w:after="0" w:line="240" w:lineRule="auto"/>
      </w:pPr>
      <w:r>
        <w:separator/>
      </w:r>
    </w:p>
  </w:endnote>
  <w:endnote w:type="continuationSeparator" w:id="0">
    <w:p w14:paraId="5817B90D" w14:textId="77777777" w:rsidR="00DA474B" w:rsidRDefault="00DA474B" w:rsidP="00A9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662916"/>
      <w:docPartObj>
        <w:docPartGallery w:val="Page Numbers (Bottom of Page)"/>
        <w:docPartUnique/>
      </w:docPartObj>
    </w:sdtPr>
    <w:sdtEndPr>
      <w:rPr>
        <w:noProof/>
      </w:rPr>
    </w:sdtEndPr>
    <w:sdtContent>
      <w:p w14:paraId="4D442205" w14:textId="4C95A0F9" w:rsidR="00AF04B6" w:rsidRDefault="00AF04B6">
        <w:pPr>
          <w:pStyle w:val="Footer"/>
          <w:jc w:val="center"/>
        </w:pPr>
        <w:r>
          <w:fldChar w:fldCharType="begin"/>
        </w:r>
        <w:r>
          <w:instrText xml:space="preserve"> PAGE   \* MERGEFORMAT </w:instrText>
        </w:r>
        <w:r>
          <w:fldChar w:fldCharType="separate"/>
        </w:r>
        <w:r w:rsidR="00395F83">
          <w:rPr>
            <w:noProof/>
          </w:rPr>
          <w:t>4</w:t>
        </w:r>
        <w:r>
          <w:rPr>
            <w:noProof/>
          </w:rPr>
          <w:fldChar w:fldCharType="end"/>
        </w:r>
      </w:p>
    </w:sdtContent>
  </w:sdt>
  <w:p w14:paraId="042EBCF6" w14:textId="77777777" w:rsidR="00AF04B6" w:rsidRDefault="00AF0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FCC8" w14:textId="77777777" w:rsidR="00DA474B" w:rsidRDefault="00DA474B" w:rsidP="00A9613D">
      <w:pPr>
        <w:spacing w:after="0" w:line="240" w:lineRule="auto"/>
      </w:pPr>
      <w:r>
        <w:separator/>
      </w:r>
    </w:p>
  </w:footnote>
  <w:footnote w:type="continuationSeparator" w:id="0">
    <w:p w14:paraId="5CAFB987" w14:textId="77777777" w:rsidR="00DA474B" w:rsidRDefault="00DA474B" w:rsidP="00A9613D">
      <w:pPr>
        <w:spacing w:after="0" w:line="240" w:lineRule="auto"/>
      </w:pPr>
      <w:r>
        <w:continuationSeparator/>
      </w:r>
    </w:p>
  </w:footnote>
  <w:footnote w:id="1">
    <w:p w14:paraId="3BF6AEF4" w14:textId="3ECED323" w:rsidR="00964A62" w:rsidRDefault="00964A62">
      <w:pPr>
        <w:pStyle w:val="FootnoteText"/>
      </w:pPr>
      <w:r>
        <w:rPr>
          <w:rStyle w:val="FootnoteReference"/>
        </w:rPr>
        <w:footnoteRef/>
      </w:r>
      <w:r>
        <w:t xml:space="preserve"> </w:t>
      </w:r>
      <w:sdt>
        <w:sdtPr>
          <w:id w:val="-290066322"/>
          <w:citation/>
        </w:sdtPr>
        <w:sdtEndPr/>
        <w:sdtContent>
          <w:r>
            <w:fldChar w:fldCharType="begin"/>
          </w:r>
          <w:r>
            <w:instrText xml:space="preserve"> CITATION Eli11 \l 1033 </w:instrText>
          </w:r>
          <w:r>
            <w:fldChar w:fldCharType="separate"/>
          </w:r>
          <w:r>
            <w:rPr>
              <w:noProof/>
            </w:rPr>
            <w:t>(Roderick, 2011)</w:t>
          </w:r>
          <w:r>
            <w:fldChar w:fldCharType="end"/>
          </w:r>
        </w:sdtContent>
      </w:sdt>
    </w:p>
  </w:footnote>
  <w:footnote w:id="2">
    <w:p w14:paraId="29427228" w14:textId="0AAAEE32" w:rsidR="00C839D1" w:rsidRDefault="00C839D1">
      <w:pPr>
        <w:pStyle w:val="FootnoteText"/>
      </w:pPr>
      <w:r>
        <w:rPr>
          <w:rStyle w:val="FootnoteReference"/>
        </w:rPr>
        <w:footnoteRef/>
      </w:r>
      <w:r>
        <w:t xml:space="preserve"> </w:t>
      </w:r>
      <w:sdt>
        <w:sdtPr>
          <w:id w:val="1342511212"/>
          <w:citation/>
        </w:sdtPr>
        <w:sdtEndPr/>
        <w:sdtContent>
          <w:r>
            <w:fldChar w:fldCharType="begin"/>
          </w:r>
          <w:r>
            <w:instrText xml:space="preserve"> CITATION Cec13 \l 1033 </w:instrText>
          </w:r>
          <w:r>
            <w:fldChar w:fldCharType="separate"/>
          </w:r>
          <w:r>
            <w:rPr>
              <w:noProof/>
            </w:rPr>
            <w:t>(Canton, A Journey Into Change, 2013)</w:t>
          </w:r>
          <w:r>
            <w:fldChar w:fldCharType="end"/>
          </w:r>
        </w:sdtContent>
      </w:sdt>
    </w:p>
  </w:footnote>
  <w:footnote w:id="3">
    <w:p w14:paraId="2FB66D44" w14:textId="600D2AAB" w:rsidR="00F52971" w:rsidRDefault="00F52971">
      <w:pPr>
        <w:pStyle w:val="FootnoteText"/>
      </w:pPr>
      <w:r>
        <w:rPr>
          <w:rStyle w:val="FootnoteReference"/>
        </w:rPr>
        <w:footnoteRef/>
      </w:r>
      <w:r>
        <w:t xml:space="preserve"> </w:t>
      </w:r>
      <w:sdt>
        <w:sdtPr>
          <w:id w:val="-608348856"/>
          <w:citation/>
        </w:sdtPr>
        <w:sdtEndPr/>
        <w:sdtContent>
          <w:r>
            <w:fldChar w:fldCharType="begin"/>
          </w:r>
          <w:r>
            <w:instrText xml:space="preserve"> CITATION Mer15 \l 1033 </w:instrText>
          </w:r>
          <w:r>
            <w:fldChar w:fldCharType="separate"/>
          </w:r>
          <w:r>
            <w:rPr>
              <w:noProof/>
            </w:rPr>
            <w:t>(Merriam-Webster, 2015)</w:t>
          </w:r>
          <w:r>
            <w:fldChar w:fldCharType="end"/>
          </w:r>
        </w:sdtContent>
      </w:sdt>
    </w:p>
  </w:footnote>
  <w:footnote w:id="4">
    <w:p w14:paraId="46422889" w14:textId="6BE8D6D5" w:rsidR="00B71939" w:rsidRDefault="00B71939">
      <w:pPr>
        <w:pStyle w:val="FootnoteText"/>
      </w:pPr>
      <w:r>
        <w:rPr>
          <w:rStyle w:val="FootnoteReference"/>
        </w:rPr>
        <w:footnoteRef/>
      </w:r>
      <w:r>
        <w:t xml:space="preserve"> </w:t>
      </w:r>
      <w:sdt>
        <w:sdtPr>
          <w:id w:val="465710121"/>
          <w:citation/>
        </w:sdtPr>
        <w:sdtEndPr/>
        <w:sdtContent>
          <w:r>
            <w:fldChar w:fldCharType="begin"/>
          </w:r>
          <w:r>
            <w:instrText xml:space="preserve"> CITATION Can02 \l 1033 </w:instrText>
          </w:r>
          <w:r>
            <w:fldChar w:fldCharType="separate"/>
          </w:r>
          <w:r>
            <w:rPr>
              <w:noProof/>
            </w:rPr>
            <w:t>(Canton, 2002)</w:t>
          </w:r>
          <w:r>
            <w:fldChar w:fldCharType="end"/>
          </w:r>
        </w:sdtContent>
      </w:sdt>
    </w:p>
  </w:footnote>
  <w:footnote w:id="5">
    <w:p w14:paraId="4D11BD81" w14:textId="453A0EB5" w:rsidR="00B71939" w:rsidRDefault="00B71939">
      <w:pPr>
        <w:pStyle w:val="FootnoteText"/>
      </w:pPr>
      <w:r>
        <w:rPr>
          <w:rStyle w:val="FootnoteReference"/>
        </w:rPr>
        <w:footnoteRef/>
      </w:r>
      <w:r>
        <w:t xml:space="preserve"> </w:t>
      </w:r>
      <w:sdt>
        <w:sdtPr>
          <w:id w:val="-1694214715"/>
          <w:citation/>
        </w:sdtPr>
        <w:sdtEndPr/>
        <w:sdtContent>
          <w:r>
            <w:fldChar w:fldCharType="begin"/>
          </w:r>
          <w:r>
            <w:instrText xml:space="preserve"> CITATION Cha97 \l 1033 </w:instrText>
          </w:r>
          <w:r>
            <w:fldChar w:fldCharType="separate"/>
          </w:r>
          <w:r>
            <w:rPr>
              <w:noProof/>
            </w:rPr>
            <w:t>(Mills, 1997)</w:t>
          </w:r>
          <w:r>
            <w:fldChar w:fldCharType="end"/>
          </w:r>
        </w:sdtContent>
      </w:sdt>
    </w:p>
  </w:footnote>
  <w:footnote w:id="6">
    <w:p w14:paraId="4E12301A" w14:textId="06B9EE0E" w:rsidR="008A2E12" w:rsidRDefault="008A2E12">
      <w:pPr>
        <w:pStyle w:val="FootnoteText"/>
      </w:pPr>
      <w:r>
        <w:rPr>
          <w:rStyle w:val="FootnoteReference"/>
        </w:rPr>
        <w:footnoteRef/>
      </w:r>
      <w:r>
        <w:t xml:space="preserve"> </w:t>
      </w:r>
      <w:sdt>
        <w:sdtPr>
          <w:id w:val="-669950745"/>
          <w:citation/>
        </w:sdtPr>
        <w:sdtEndPr/>
        <w:sdtContent>
          <w:r>
            <w:fldChar w:fldCharType="begin"/>
          </w:r>
          <w:r>
            <w:instrText xml:space="preserve"> CITATION Fra06 \l 1033 </w:instrText>
          </w:r>
          <w:r>
            <w:fldChar w:fldCharType="separate"/>
          </w:r>
          <w:r>
            <w:rPr>
              <w:noProof/>
            </w:rPr>
            <w:t>(Kendall, 2006)</w:t>
          </w:r>
          <w:r>
            <w:fldChar w:fldCharType="end"/>
          </w:r>
        </w:sdtContent>
      </w:sdt>
    </w:p>
  </w:footnote>
  <w:footnote w:id="7">
    <w:p w14:paraId="4456593D" w14:textId="77777777" w:rsidR="00DA474B" w:rsidRDefault="00DA474B">
      <w:pPr>
        <w:pStyle w:val="FootnoteText"/>
      </w:pPr>
      <w:r>
        <w:rPr>
          <w:rStyle w:val="FootnoteReference"/>
        </w:rPr>
        <w:footnoteRef/>
      </w:r>
      <w:r>
        <w:t xml:space="preserve"> The Access and Diversity Collaborative is comprised of the College Board, the American Council on Education and EducationCounsel LLC.</w:t>
      </w:r>
    </w:p>
  </w:footnote>
  <w:footnote w:id="8">
    <w:p w14:paraId="3FAA491C" w14:textId="7768C267" w:rsidR="00DA474B" w:rsidRDefault="00DA474B">
      <w:pPr>
        <w:pStyle w:val="FootnoteText"/>
      </w:pPr>
      <w:r>
        <w:rPr>
          <w:rStyle w:val="FootnoteReference"/>
        </w:rPr>
        <w:footnoteRef/>
      </w:r>
      <w:r>
        <w:t xml:space="preserve"> </w:t>
      </w:r>
      <w:sdt>
        <w:sdtPr>
          <w:id w:val="596827106"/>
          <w:citation/>
        </w:sdtPr>
        <w:sdtEndPr/>
        <w:sdtContent>
          <w:r w:rsidR="00A77CF0">
            <w:fldChar w:fldCharType="begin"/>
          </w:r>
          <w:r w:rsidR="00A77CF0">
            <w:instrText xml:space="preserve"> CITATION The15 \l 1033 </w:instrText>
          </w:r>
          <w:r w:rsidR="00A77CF0">
            <w:fldChar w:fldCharType="separate"/>
          </w:r>
          <w:r w:rsidR="00A77CF0">
            <w:rPr>
              <w:noProof/>
            </w:rPr>
            <w:t>(Collaborative, May 2015)</w:t>
          </w:r>
          <w:r w:rsidR="00A77CF0">
            <w:fldChar w:fldCharType="end"/>
          </w:r>
        </w:sdtContent>
      </w:sdt>
      <w:r w:rsidR="00C56ECE">
        <w:t xml:space="preserve">, </w:t>
      </w:r>
      <w:r w:rsidR="00090078">
        <w:t>p.5</w:t>
      </w:r>
    </w:p>
  </w:footnote>
  <w:footnote w:id="9">
    <w:p w14:paraId="54BBA7EE" w14:textId="150C5704" w:rsidR="00C56ECE" w:rsidRDefault="00C56ECE">
      <w:pPr>
        <w:pStyle w:val="FootnoteText"/>
      </w:pPr>
      <w:r>
        <w:rPr>
          <w:rStyle w:val="FootnoteReference"/>
        </w:rPr>
        <w:footnoteRef/>
      </w:r>
      <w:r>
        <w:t xml:space="preserve"> </w:t>
      </w:r>
      <w:sdt>
        <w:sdtPr>
          <w:id w:val="-1566411143"/>
          <w:citation/>
        </w:sdtPr>
        <w:sdtEndPr/>
        <w:sdtContent>
          <w:r>
            <w:fldChar w:fldCharType="begin"/>
          </w:r>
          <w:r>
            <w:instrText xml:space="preserve"> CITATION The15 \l 1033 </w:instrText>
          </w:r>
          <w:r>
            <w:fldChar w:fldCharType="separate"/>
          </w:r>
          <w:r>
            <w:rPr>
              <w:noProof/>
            </w:rPr>
            <w:t>(Collaborative, May 2015)</w:t>
          </w:r>
          <w:r>
            <w:fldChar w:fldCharType="end"/>
          </w:r>
        </w:sdtContent>
      </w:sdt>
      <w:r w:rsidR="00090078">
        <w:t>, p.</w:t>
      </w:r>
      <w:r>
        <w:t>5</w:t>
      </w:r>
    </w:p>
  </w:footnote>
  <w:footnote w:id="10">
    <w:p w14:paraId="6B0B1F8B" w14:textId="6EDC7630" w:rsidR="003E2582" w:rsidRDefault="003E2582">
      <w:pPr>
        <w:pStyle w:val="FootnoteText"/>
      </w:pPr>
      <w:r>
        <w:rPr>
          <w:rStyle w:val="FootnoteReference"/>
        </w:rPr>
        <w:footnoteRef/>
      </w:r>
      <w:r>
        <w:t xml:space="preserve"> </w:t>
      </w:r>
      <w:sdt>
        <w:sdtPr>
          <w:id w:val="-619067165"/>
          <w:citation/>
        </w:sdtPr>
        <w:sdtEndPr/>
        <w:sdtContent>
          <w:r>
            <w:fldChar w:fldCharType="begin"/>
          </w:r>
          <w:r>
            <w:instrText xml:space="preserve"> CITATION The15 \l 1033 </w:instrText>
          </w:r>
          <w:r>
            <w:fldChar w:fldCharType="separate"/>
          </w:r>
          <w:r>
            <w:rPr>
              <w:noProof/>
            </w:rPr>
            <w:t>(Collaborative, May 2015)</w:t>
          </w:r>
          <w:r>
            <w:fldChar w:fldCharType="end"/>
          </w:r>
        </w:sdtContent>
      </w:sdt>
      <w:r>
        <w:t>, p.6</w:t>
      </w:r>
    </w:p>
  </w:footnote>
  <w:footnote w:id="11">
    <w:p w14:paraId="3C58BCCE" w14:textId="383508C6" w:rsidR="003E2582" w:rsidRDefault="003E2582">
      <w:pPr>
        <w:pStyle w:val="FootnoteText"/>
      </w:pPr>
      <w:r>
        <w:rPr>
          <w:rStyle w:val="FootnoteReference"/>
        </w:rPr>
        <w:footnoteRef/>
      </w:r>
      <w:r>
        <w:t xml:space="preserve"> </w:t>
      </w:r>
      <w:sdt>
        <w:sdtPr>
          <w:id w:val="674924651"/>
          <w:citation/>
        </w:sdtPr>
        <w:sdtEndPr/>
        <w:sdtContent>
          <w:r>
            <w:fldChar w:fldCharType="begin"/>
          </w:r>
          <w:r>
            <w:instrText xml:space="preserve"> CITATION The15 \l 1033 </w:instrText>
          </w:r>
          <w:r>
            <w:fldChar w:fldCharType="separate"/>
          </w:r>
          <w:r>
            <w:rPr>
              <w:noProof/>
            </w:rPr>
            <w:t>(Collaborative, May 2015)</w:t>
          </w:r>
          <w:r>
            <w:fldChar w:fldCharType="end"/>
          </w:r>
        </w:sdtContent>
      </w:sdt>
      <w:r>
        <w:t>, p.6</w:t>
      </w:r>
    </w:p>
  </w:footnote>
  <w:footnote w:id="12">
    <w:p w14:paraId="5267C836" w14:textId="02D5CC66" w:rsidR="00090078" w:rsidRDefault="00090078">
      <w:pPr>
        <w:pStyle w:val="FootnoteText"/>
      </w:pPr>
      <w:r>
        <w:rPr>
          <w:rStyle w:val="FootnoteReference"/>
        </w:rPr>
        <w:footnoteRef/>
      </w:r>
      <w:r>
        <w:t xml:space="preserve"> (Collaborative, May 2015), p.6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7179" w14:textId="25F552F2" w:rsidR="002C073E" w:rsidRPr="002C073E" w:rsidRDefault="002C073E">
    <w:pPr>
      <w:pStyle w:val="Header"/>
      <w:rPr>
        <w:rFonts w:ascii="Palatino Linotype" w:hAnsi="Palatino Linotype"/>
      </w:rPr>
    </w:pPr>
    <w:r w:rsidRPr="002C073E">
      <w:rPr>
        <w:rFonts w:ascii="Palatino Linotype" w:hAnsi="Palatino Linotype"/>
      </w:rPr>
      <w:t>Attachment E</w:t>
    </w:r>
  </w:p>
  <w:p w14:paraId="10EB57E6" w14:textId="77777777" w:rsidR="002C073E" w:rsidRDefault="002C0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C4594"/>
    <w:multiLevelType w:val="hybridMultilevel"/>
    <w:tmpl w:val="5FDE31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C6901"/>
    <w:multiLevelType w:val="hybridMultilevel"/>
    <w:tmpl w:val="D190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10A43"/>
    <w:multiLevelType w:val="hybridMultilevel"/>
    <w:tmpl w:val="186E7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DB"/>
    <w:rsid w:val="00024BF5"/>
    <w:rsid w:val="000300E1"/>
    <w:rsid w:val="0003176F"/>
    <w:rsid w:val="00044EC0"/>
    <w:rsid w:val="0005452E"/>
    <w:rsid w:val="00090078"/>
    <w:rsid w:val="00110161"/>
    <w:rsid w:val="00154CF4"/>
    <w:rsid w:val="0017027E"/>
    <w:rsid w:val="001806D4"/>
    <w:rsid w:val="001A77A5"/>
    <w:rsid w:val="001D081B"/>
    <w:rsid w:val="00260F7C"/>
    <w:rsid w:val="002C073E"/>
    <w:rsid w:val="0032387A"/>
    <w:rsid w:val="0037004C"/>
    <w:rsid w:val="00395F83"/>
    <w:rsid w:val="003A38ED"/>
    <w:rsid w:val="003E2582"/>
    <w:rsid w:val="0041662F"/>
    <w:rsid w:val="00441F05"/>
    <w:rsid w:val="004462A2"/>
    <w:rsid w:val="004B073A"/>
    <w:rsid w:val="00543E48"/>
    <w:rsid w:val="00547C92"/>
    <w:rsid w:val="005738D9"/>
    <w:rsid w:val="005A637D"/>
    <w:rsid w:val="00662881"/>
    <w:rsid w:val="006E096D"/>
    <w:rsid w:val="00753B0F"/>
    <w:rsid w:val="007B6506"/>
    <w:rsid w:val="007C6B14"/>
    <w:rsid w:val="007D7A57"/>
    <w:rsid w:val="007F4D0B"/>
    <w:rsid w:val="008A2E12"/>
    <w:rsid w:val="008D2D74"/>
    <w:rsid w:val="008D3B47"/>
    <w:rsid w:val="00935D2C"/>
    <w:rsid w:val="00944914"/>
    <w:rsid w:val="00952F48"/>
    <w:rsid w:val="00964A62"/>
    <w:rsid w:val="009850BA"/>
    <w:rsid w:val="009C630D"/>
    <w:rsid w:val="00A07B75"/>
    <w:rsid w:val="00A356F2"/>
    <w:rsid w:val="00A44F79"/>
    <w:rsid w:val="00A77CF0"/>
    <w:rsid w:val="00A871DD"/>
    <w:rsid w:val="00A9613D"/>
    <w:rsid w:val="00AA0BC1"/>
    <w:rsid w:val="00AF04B6"/>
    <w:rsid w:val="00AF6248"/>
    <w:rsid w:val="00B23023"/>
    <w:rsid w:val="00B40B30"/>
    <w:rsid w:val="00B4325D"/>
    <w:rsid w:val="00B56AE0"/>
    <w:rsid w:val="00B71939"/>
    <w:rsid w:val="00C173A7"/>
    <w:rsid w:val="00C231F5"/>
    <w:rsid w:val="00C2536E"/>
    <w:rsid w:val="00C30E8E"/>
    <w:rsid w:val="00C47B91"/>
    <w:rsid w:val="00C56ECE"/>
    <w:rsid w:val="00C839D1"/>
    <w:rsid w:val="00CA2893"/>
    <w:rsid w:val="00D16CAC"/>
    <w:rsid w:val="00D365EC"/>
    <w:rsid w:val="00DA474B"/>
    <w:rsid w:val="00E17DF7"/>
    <w:rsid w:val="00E27C81"/>
    <w:rsid w:val="00E81333"/>
    <w:rsid w:val="00EA4ADB"/>
    <w:rsid w:val="00EC4576"/>
    <w:rsid w:val="00F519E5"/>
    <w:rsid w:val="00F52971"/>
    <w:rsid w:val="00FE1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7FD6"/>
  <w15:docId w15:val="{AB78845C-2765-415D-8293-BFA04E22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C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4AD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4ADB"/>
    <w:pPr>
      <w:ind w:left="720"/>
      <w:contextualSpacing/>
    </w:pPr>
  </w:style>
  <w:style w:type="paragraph" w:styleId="FootnoteText">
    <w:name w:val="footnote text"/>
    <w:basedOn w:val="Normal"/>
    <w:link w:val="FootnoteTextChar"/>
    <w:uiPriority w:val="99"/>
    <w:semiHidden/>
    <w:unhideWhenUsed/>
    <w:rsid w:val="00A96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13D"/>
    <w:rPr>
      <w:sz w:val="20"/>
      <w:szCs w:val="20"/>
    </w:rPr>
  </w:style>
  <w:style w:type="character" w:styleId="FootnoteReference">
    <w:name w:val="footnote reference"/>
    <w:basedOn w:val="DefaultParagraphFont"/>
    <w:uiPriority w:val="99"/>
    <w:semiHidden/>
    <w:unhideWhenUsed/>
    <w:rsid w:val="00A9613D"/>
    <w:rPr>
      <w:vertAlign w:val="superscript"/>
    </w:rPr>
  </w:style>
  <w:style w:type="paragraph" w:styleId="BalloonText">
    <w:name w:val="Balloon Text"/>
    <w:basedOn w:val="Normal"/>
    <w:link w:val="BalloonTextChar"/>
    <w:uiPriority w:val="99"/>
    <w:semiHidden/>
    <w:unhideWhenUsed/>
    <w:rsid w:val="00A7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CF0"/>
    <w:rPr>
      <w:rFonts w:ascii="Tahoma" w:hAnsi="Tahoma" w:cs="Tahoma"/>
      <w:sz w:val="16"/>
      <w:szCs w:val="16"/>
    </w:rPr>
  </w:style>
  <w:style w:type="paragraph" w:styleId="Quote">
    <w:name w:val="Quote"/>
    <w:basedOn w:val="Normal"/>
    <w:next w:val="Normal"/>
    <w:link w:val="QuoteChar"/>
    <w:uiPriority w:val="29"/>
    <w:qFormat/>
    <w:rsid w:val="003A38ED"/>
    <w:rPr>
      <w:i/>
      <w:iCs/>
      <w:color w:val="000000" w:themeColor="text1"/>
    </w:rPr>
  </w:style>
  <w:style w:type="character" w:customStyle="1" w:styleId="QuoteChar">
    <w:name w:val="Quote Char"/>
    <w:basedOn w:val="DefaultParagraphFont"/>
    <w:link w:val="Quote"/>
    <w:uiPriority w:val="29"/>
    <w:rsid w:val="003A38ED"/>
    <w:rPr>
      <w:i/>
      <w:iCs/>
      <w:color w:val="000000" w:themeColor="text1"/>
    </w:rPr>
  </w:style>
  <w:style w:type="character" w:customStyle="1" w:styleId="Heading1Char">
    <w:name w:val="Heading 1 Char"/>
    <w:basedOn w:val="DefaultParagraphFont"/>
    <w:link w:val="Heading1"/>
    <w:uiPriority w:val="9"/>
    <w:rsid w:val="00E27C8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27C81"/>
  </w:style>
  <w:style w:type="paragraph" w:styleId="EndnoteText">
    <w:name w:val="endnote text"/>
    <w:basedOn w:val="Normal"/>
    <w:link w:val="EndnoteTextChar"/>
    <w:uiPriority w:val="99"/>
    <w:semiHidden/>
    <w:unhideWhenUsed/>
    <w:rsid w:val="00B71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1939"/>
    <w:rPr>
      <w:sz w:val="20"/>
      <w:szCs w:val="20"/>
    </w:rPr>
  </w:style>
  <w:style w:type="character" w:styleId="EndnoteReference">
    <w:name w:val="endnote reference"/>
    <w:basedOn w:val="DefaultParagraphFont"/>
    <w:uiPriority w:val="99"/>
    <w:semiHidden/>
    <w:unhideWhenUsed/>
    <w:rsid w:val="00B71939"/>
    <w:rPr>
      <w:vertAlign w:val="superscript"/>
    </w:rPr>
  </w:style>
  <w:style w:type="paragraph" w:styleId="NormalWeb">
    <w:name w:val="Normal (Web)"/>
    <w:basedOn w:val="Normal"/>
    <w:uiPriority w:val="99"/>
    <w:unhideWhenUsed/>
    <w:rsid w:val="00CA2893"/>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CA2893"/>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4B6"/>
  </w:style>
  <w:style w:type="paragraph" w:styleId="Footer">
    <w:name w:val="footer"/>
    <w:basedOn w:val="Normal"/>
    <w:link w:val="FooterChar"/>
    <w:uiPriority w:val="99"/>
    <w:unhideWhenUsed/>
    <w:rsid w:val="00AF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764">
      <w:bodyDiv w:val="1"/>
      <w:marLeft w:val="0"/>
      <w:marRight w:val="0"/>
      <w:marTop w:val="0"/>
      <w:marBottom w:val="0"/>
      <w:divBdr>
        <w:top w:val="none" w:sz="0" w:space="0" w:color="auto"/>
        <w:left w:val="none" w:sz="0" w:space="0" w:color="auto"/>
        <w:bottom w:val="none" w:sz="0" w:space="0" w:color="auto"/>
        <w:right w:val="none" w:sz="0" w:space="0" w:color="auto"/>
      </w:divBdr>
      <w:divsChild>
        <w:div w:id="2112895013">
          <w:marLeft w:val="0"/>
          <w:marRight w:val="0"/>
          <w:marTop w:val="0"/>
          <w:marBottom w:val="0"/>
          <w:divBdr>
            <w:top w:val="none" w:sz="0" w:space="0" w:color="auto"/>
            <w:left w:val="none" w:sz="0" w:space="0" w:color="auto"/>
            <w:bottom w:val="none" w:sz="0" w:space="0" w:color="auto"/>
            <w:right w:val="none" w:sz="0" w:space="0" w:color="auto"/>
          </w:divBdr>
          <w:divsChild>
            <w:div w:id="987906319">
              <w:marLeft w:val="0"/>
              <w:marRight w:val="0"/>
              <w:marTop w:val="0"/>
              <w:marBottom w:val="0"/>
              <w:divBdr>
                <w:top w:val="none" w:sz="0" w:space="0" w:color="auto"/>
                <w:left w:val="none" w:sz="0" w:space="0" w:color="auto"/>
                <w:bottom w:val="none" w:sz="0" w:space="0" w:color="auto"/>
                <w:right w:val="none" w:sz="0" w:space="0" w:color="auto"/>
              </w:divBdr>
              <w:divsChild>
                <w:div w:id="1281953181">
                  <w:marLeft w:val="0"/>
                  <w:marRight w:val="0"/>
                  <w:marTop w:val="0"/>
                  <w:marBottom w:val="0"/>
                  <w:divBdr>
                    <w:top w:val="none" w:sz="0" w:space="0" w:color="auto"/>
                    <w:left w:val="none" w:sz="0" w:space="0" w:color="auto"/>
                    <w:bottom w:val="none" w:sz="0" w:space="0" w:color="auto"/>
                    <w:right w:val="none" w:sz="0" w:space="0" w:color="auto"/>
                  </w:divBdr>
                  <w:divsChild>
                    <w:div w:id="1258976603">
                      <w:marLeft w:val="0"/>
                      <w:marRight w:val="0"/>
                      <w:marTop w:val="0"/>
                      <w:marBottom w:val="0"/>
                      <w:divBdr>
                        <w:top w:val="none" w:sz="0" w:space="0" w:color="auto"/>
                        <w:left w:val="none" w:sz="0" w:space="0" w:color="auto"/>
                        <w:bottom w:val="none" w:sz="0" w:space="0" w:color="auto"/>
                        <w:right w:val="none" w:sz="0" w:space="0" w:color="auto"/>
                      </w:divBdr>
                      <w:divsChild>
                        <w:div w:id="104932460">
                          <w:marLeft w:val="0"/>
                          <w:marRight w:val="0"/>
                          <w:marTop w:val="0"/>
                          <w:marBottom w:val="0"/>
                          <w:divBdr>
                            <w:top w:val="none" w:sz="0" w:space="0" w:color="auto"/>
                            <w:left w:val="none" w:sz="0" w:space="0" w:color="auto"/>
                            <w:bottom w:val="none" w:sz="0" w:space="0" w:color="auto"/>
                            <w:right w:val="none" w:sz="0" w:space="0" w:color="auto"/>
                          </w:divBdr>
                          <w:divsChild>
                            <w:div w:id="350569717">
                              <w:marLeft w:val="0"/>
                              <w:marRight w:val="0"/>
                              <w:marTop w:val="0"/>
                              <w:marBottom w:val="0"/>
                              <w:divBdr>
                                <w:top w:val="none" w:sz="0" w:space="0" w:color="auto"/>
                                <w:left w:val="none" w:sz="0" w:space="0" w:color="auto"/>
                                <w:bottom w:val="none" w:sz="0" w:space="0" w:color="auto"/>
                                <w:right w:val="none" w:sz="0" w:space="0" w:color="auto"/>
                              </w:divBdr>
                              <w:divsChild>
                                <w:div w:id="1279529769">
                                  <w:marLeft w:val="0"/>
                                  <w:marRight w:val="0"/>
                                  <w:marTop w:val="0"/>
                                  <w:marBottom w:val="0"/>
                                  <w:divBdr>
                                    <w:top w:val="none" w:sz="0" w:space="0" w:color="auto"/>
                                    <w:left w:val="none" w:sz="0" w:space="0" w:color="auto"/>
                                    <w:bottom w:val="none" w:sz="0" w:space="0" w:color="auto"/>
                                    <w:right w:val="none" w:sz="0" w:space="0" w:color="auto"/>
                                  </w:divBdr>
                                  <w:divsChild>
                                    <w:div w:id="1822698141">
                                      <w:marLeft w:val="0"/>
                                      <w:marRight w:val="0"/>
                                      <w:marTop w:val="0"/>
                                      <w:marBottom w:val="0"/>
                                      <w:divBdr>
                                        <w:top w:val="none" w:sz="0" w:space="0" w:color="auto"/>
                                        <w:left w:val="none" w:sz="0" w:space="0" w:color="auto"/>
                                        <w:bottom w:val="none" w:sz="0" w:space="0" w:color="auto"/>
                                        <w:right w:val="none" w:sz="0" w:space="0" w:color="auto"/>
                                      </w:divBdr>
                                      <w:divsChild>
                                        <w:div w:id="1339890466">
                                          <w:marLeft w:val="0"/>
                                          <w:marRight w:val="0"/>
                                          <w:marTop w:val="0"/>
                                          <w:marBottom w:val="0"/>
                                          <w:divBdr>
                                            <w:top w:val="none" w:sz="0" w:space="0" w:color="auto"/>
                                            <w:left w:val="none" w:sz="0" w:space="0" w:color="auto"/>
                                            <w:bottom w:val="none" w:sz="0" w:space="0" w:color="auto"/>
                                            <w:right w:val="none" w:sz="0" w:space="0" w:color="auto"/>
                                          </w:divBdr>
                                          <w:divsChild>
                                            <w:div w:id="140737600">
                                              <w:marLeft w:val="0"/>
                                              <w:marRight w:val="0"/>
                                              <w:marTop w:val="0"/>
                                              <w:marBottom w:val="0"/>
                                              <w:divBdr>
                                                <w:top w:val="none" w:sz="0" w:space="0" w:color="auto"/>
                                                <w:left w:val="none" w:sz="0" w:space="0" w:color="auto"/>
                                                <w:bottom w:val="none" w:sz="0" w:space="0" w:color="auto"/>
                                                <w:right w:val="none" w:sz="0" w:space="0" w:color="auto"/>
                                              </w:divBdr>
                                              <w:divsChild>
                                                <w:div w:id="145710293">
                                                  <w:marLeft w:val="0"/>
                                                  <w:marRight w:val="0"/>
                                                  <w:marTop w:val="0"/>
                                                  <w:marBottom w:val="0"/>
                                                  <w:divBdr>
                                                    <w:top w:val="none" w:sz="0" w:space="0" w:color="auto"/>
                                                    <w:left w:val="none" w:sz="0" w:space="0" w:color="auto"/>
                                                    <w:bottom w:val="none" w:sz="0" w:space="0" w:color="auto"/>
                                                    <w:right w:val="none" w:sz="0" w:space="0" w:color="auto"/>
                                                  </w:divBdr>
                                                  <w:divsChild>
                                                    <w:div w:id="1712921859">
                                                      <w:marLeft w:val="0"/>
                                                      <w:marRight w:val="0"/>
                                                      <w:marTop w:val="0"/>
                                                      <w:marBottom w:val="0"/>
                                                      <w:divBdr>
                                                        <w:top w:val="none" w:sz="0" w:space="0" w:color="auto"/>
                                                        <w:left w:val="none" w:sz="0" w:space="0" w:color="auto"/>
                                                        <w:bottom w:val="none" w:sz="0" w:space="0" w:color="auto"/>
                                                        <w:right w:val="none" w:sz="0" w:space="0" w:color="auto"/>
                                                      </w:divBdr>
                                                      <w:divsChild>
                                                        <w:div w:id="1990353906">
                                                          <w:marLeft w:val="0"/>
                                                          <w:marRight w:val="0"/>
                                                          <w:marTop w:val="0"/>
                                                          <w:marBottom w:val="0"/>
                                                          <w:divBdr>
                                                            <w:top w:val="none" w:sz="0" w:space="0" w:color="auto"/>
                                                            <w:left w:val="none" w:sz="0" w:space="0" w:color="auto"/>
                                                            <w:bottom w:val="none" w:sz="0" w:space="0" w:color="auto"/>
                                                            <w:right w:val="none" w:sz="0" w:space="0" w:color="auto"/>
                                                          </w:divBdr>
                                                          <w:divsChild>
                                                            <w:div w:id="1394038947">
                                                              <w:marLeft w:val="0"/>
                                                              <w:marRight w:val="0"/>
                                                              <w:marTop w:val="0"/>
                                                              <w:marBottom w:val="0"/>
                                                              <w:divBdr>
                                                                <w:top w:val="none" w:sz="0" w:space="0" w:color="auto"/>
                                                                <w:left w:val="none" w:sz="0" w:space="0" w:color="auto"/>
                                                                <w:bottom w:val="none" w:sz="0" w:space="0" w:color="auto"/>
                                                                <w:right w:val="none" w:sz="0" w:space="0" w:color="auto"/>
                                                              </w:divBdr>
                                                              <w:divsChild>
                                                                <w:div w:id="346031019">
                                                                  <w:marLeft w:val="0"/>
                                                                  <w:marRight w:val="0"/>
                                                                  <w:marTop w:val="0"/>
                                                                  <w:marBottom w:val="0"/>
                                                                  <w:divBdr>
                                                                    <w:top w:val="none" w:sz="0" w:space="0" w:color="auto"/>
                                                                    <w:left w:val="none" w:sz="0" w:space="0" w:color="auto"/>
                                                                    <w:bottom w:val="none" w:sz="0" w:space="0" w:color="auto"/>
                                                                    <w:right w:val="none" w:sz="0" w:space="0" w:color="auto"/>
                                                                  </w:divBdr>
                                                                  <w:divsChild>
                                                                    <w:div w:id="149753981">
                                                                      <w:marLeft w:val="0"/>
                                                                      <w:marRight w:val="0"/>
                                                                      <w:marTop w:val="0"/>
                                                                      <w:marBottom w:val="0"/>
                                                                      <w:divBdr>
                                                                        <w:top w:val="none" w:sz="0" w:space="0" w:color="auto"/>
                                                                        <w:left w:val="none" w:sz="0" w:space="0" w:color="auto"/>
                                                                        <w:bottom w:val="none" w:sz="0" w:space="0" w:color="auto"/>
                                                                        <w:right w:val="none" w:sz="0" w:space="0" w:color="auto"/>
                                                                      </w:divBdr>
                                                                      <w:divsChild>
                                                                        <w:div w:id="1585214816">
                                                                          <w:marLeft w:val="0"/>
                                                                          <w:marRight w:val="0"/>
                                                                          <w:marTop w:val="0"/>
                                                                          <w:marBottom w:val="0"/>
                                                                          <w:divBdr>
                                                                            <w:top w:val="none" w:sz="0" w:space="0" w:color="auto"/>
                                                                            <w:left w:val="none" w:sz="0" w:space="0" w:color="auto"/>
                                                                            <w:bottom w:val="none" w:sz="0" w:space="0" w:color="auto"/>
                                                                            <w:right w:val="none" w:sz="0" w:space="0" w:color="auto"/>
                                                                          </w:divBdr>
                                                                        </w:div>
                                                                      </w:divsChild>
                                                                    </w:div>
                                                                    <w:div w:id="1726954707">
                                                                      <w:marLeft w:val="0"/>
                                                                      <w:marRight w:val="0"/>
                                                                      <w:marTop w:val="0"/>
                                                                      <w:marBottom w:val="0"/>
                                                                      <w:divBdr>
                                                                        <w:top w:val="none" w:sz="0" w:space="0" w:color="auto"/>
                                                                        <w:left w:val="none" w:sz="0" w:space="0" w:color="auto"/>
                                                                        <w:bottom w:val="none" w:sz="0" w:space="0" w:color="auto"/>
                                                                        <w:right w:val="none" w:sz="0" w:space="0" w:color="auto"/>
                                                                      </w:divBdr>
                                                                      <w:divsChild>
                                                                        <w:div w:id="577637237">
                                                                          <w:marLeft w:val="0"/>
                                                                          <w:marRight w:val="0"/>
                                                                          <w:marTop w:val="0"/>
                                                                          <w:marBottom w:val="0"/>
                                                                          <w:divBdr>
                                                                            <w:top w:val="none" w:sz="0" w:space="0" w:color="auto"/>
                                                                            <w:left w:val="none" w:sz="0" w:space="0" w:color="auto"/>
                                                                            <w:bottom w:val="none" w:sz="0" w:space="0" w:color="auto"/>
                                                                            <w:right w:val="none" w:sz="0" w:space="0" w:color="auto"/>
                                                                          </w:divBdr>
                                                                        </w:div>
                                                                        <w:div w:id="595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53161">
      <w:bodyDiv w:val="1"/>
      <w:marLeft w:val="0"/>
      <w:marRight w:val="0"/>
      <w:marTop w:val="0"/>
      <w:marBottom w:val="0"/>
      <w:divBdr>
        <w:top w:val="none" w:sz="0" w:space="0" w:color="auto"/>
        <w:left w:val="none" w:sz="0" w:space="0" w:color="auto"/>
        <w:bottom w:val="none" w:sz="0" w:space="0" w:color="auto"/>
        <w:right w:val="none" w:sz="0" w:space="0" w:color="auto"/>
      </w:divBdr>
      <w:divsChild>
        <w:div w:id="1648197161">
          <w:marLeft w:val="0"/>
          <w:marRight w:val="0"/>
          <w:marTop w:val="0"/>
          <w:marBottom w:val="0"/>
          <w:divBdr>
            <w:top w:val="none" w:sz="0" w:space="0" w:color="auto"/>
            <w:left w:val="none" w:sz="0" w:space="0" w:color="auto"/>
            <w:bottom w:val="none" w:sz="0" w:space="0" w:color="auto"/>
            <w:right w:val="none" w:sz="0" w:space="0" w:color="auto"/>
          </w:divBdr>
          <w:divsChild>
            <w:div w:id="1159075831">
              <w:marLeft w:val="0"/>
              <w:marRight w:val="0"/>
              <w:marTop w:val="0"/>
              <w:marBottom w:val="0"/>
              <w:divBdr>
                <w:top w:val="none" w:sz="0" w:space="0" w:color="auto"/>
                <w:left w:val="none" w:sz="0" w:space="0" w:color="auto"/>
                <w:bottom w:val="none" w:sz="0" w:space="0" w:color="auto"/>
                <w:right w:val="none" w:sz="0" w:space="0" w:color="auto"/>
              </w:divBdr>
              <w:divsChild>
                <w:div w:id="2100910315">
                  <w:marLeft w:val="0"/>
                  <w:marRight w:val="0"/>
                  <w:marTop w:val="0"/>
                  <w:marBottom w:val="0"/>
                  <w:divBdr>
                    <w:top w:val="none" w:sz="0" w:space="0" w:color="auto"/>
                    <w:left w:val="none" w:sz="0" w:space="0" w:color="auto"/>
                    <w:bottom w:val="none" w:sz="0" w:space="0" w:color="auto"/>
                    <w:right w:val="none" w:sz="0" w:space="0" w:color="auto"/>
                  </w:divBdr>
                  <w:divsChild>
                    <w:div w:id="555701387">
                      <w:marLeft w:val="0"/>
                      <w:marRight w:val="0"/>
                      <w:marTop w:val="0"/>
                      <w:marBottom w:val="0"/>
                      <w:divBdr>
                        <w:top w:val="none" w:sz="0" w:space="0" w:color="auto"/>
                        <w:left w:val="none" w:sz="0" w:space="0" w:color="auto"/>
                        <w:bottom w:val="none" w:sz="0" w:space="0" w:color="auto"/>
                        <w:right w:val="none" w:sz="0" w:space="0" w:color="auto"/>
                      </w:divBdr>
                      <w:divsChild>
                        <w:div w:id="387411800">
                          <w:marLeft w:val="0"/>
                          <w:marRight w:val="0"/>
                          <w:marTop w:val="0"/>
                          <w:marBottom w:val="0"/>
                          <w:divBdr>
                            <w:top w:val="none" w:sz="0" w:space="0" w:color="auto"/>
                            <w:left w:val="none" w:sz="0" w:space="0" w:color="auto"/>
                            <w:bottom w:val="none" w:sz="0" w:space="0" w:color="auto"/>
                            <w:right w:val="none" w:sz="0" w:space="0" w:color="auto"/>
                          </w:divBdr>
                          <w:divsChild>
                            <w:div w:id="792019002">
                              <w:marLeft w:val="0"/>
                              <w:marRight w:val="0"/>
                              <w:marTop w:val="0"/>
                              <w:marBottom w:val="0"/>
                              <w:divBdr>
                                <w:top w:val="none" w:sz="0" w:space="0" w:color="auto"/>
                                <w:left w:val="none" w:sz="0" w:space="0" w:color="auto"/>
                                <w:bottom w:val="none" w:sz="0" w:space="0" w:color="auto"/>
                                <w:right w:val="none" w:sz="0" w:space="0" w:color="auto"/>
                              </w:divBdr>
                              <w:divsChild>
                                <w:div w:id="865408059">
                                  <w:marLeft w:val="0"/>
                                  <w:marRight w:val="0"/>
                                  <w:marTop w:val="0"/>
                                  <w:marBottom w:val="0"/>
                                  <w:divBdr>
                                    <w:top w:val="none" w:sz="0" w:space="0" w:color="auto"/>
                                    <w:left w:val="none" w:sz="0" w:space="0" w:color="auto"/>
                                    <w:bottom w:val="none" w:sz="0" w:space="0" w:color="auto"/>
                                    <w:right w:val="none" w:sz="0" w:space="0" w:color="auto"/>
                                  </w:divBdr>
                                  <w:divsChild>
                                    <w:div w:id="2087874589">
                                      <w:marLeft w:val="0"/>
                                      <w:marRight w:val="0"/>
                                      <w:marTop w:val="0"/>
                                      <w:marBottom w:val="0"/>
                                      <w:divBdr>
                                        <w:top w:val="none" w:sz="0" w:space="0" w:color="auto"/>
                                        <w:left w:val="none" w:sz="0" w:space="0" w:color="auto"/>
                                        <w:bottom w:val="none" w:sz="0" w:space="0" w:color="auto"/>
                                        <w:right w:val="none" w:sz="0" w:space="0" w:color="auto"/>
                                      </w:divBdr>
                                      <w:divsChild>
                                        <w:div w:id="1132212234">
                                          <w:marLeft w:val="0"/>
                                          <w:marRight w:val="0"/>
                                          <w:marTop w:val="0"/>
                                          <w:marBottom w:val="0"/>
                                          <w:divBdr>
                                            <w:top w:val="none" w:sz="0" w:space="0" w:color="auto"/>
                                            <w:left w:val="none" w:sz="0" w:space="0" w:color="auto"/>
                                            <w:bottom w:val="none" w:sz="0" w:space="0" w:color="auto"/>
                                            <w:right w:val="none" w:sz="0" w:space="0" w:color="auto"/>
                                          </w:divBdr>
                                          <w:divsChild>
                                            <w:div w:id="1118573387">
                                              <w:marLeft w:val="0"/>
                                              <w:marRight w:val="0"/>
                                              <w:marTop w:val="0"/>
                                              <w:marBottom w:val="0"/>
                                              <w:divBdr>
                                                <w:top w:val="none" w:sz="0" w:space="0" w:color="auto"/>
                                                <w:left w:val="none" w:sz="0" w:space="0" w:color="auto"/>
                                                <w:bottom w:val="none" w:sz="0" w:space="0" w:color="auto"/>
                                                <w:right w:val="none" w:sz="0" w:space="0" w:color="auto"/>
                                              </w:divBdr>
                                              <w:divsChild>
                                                <w:div w:id="1399748818">
                                                  <w:marLeft w:val="0"/>
                                                  <w:marRight w:val="0"/>
                                                  <w:marTop w:val="0"/>
                                                  <w:marBottom w:val="0"/>
                                                  <w:divBdr>
                                                    <w:top w:val="none" w:sz="0" w:space="0" w:color="auto"/>
                                                    <w:left w:val="none" w:sz="0" w:space="0" w:color="auto"/>
                                                    <w:bottom w:val="none" w:sz="0" w:space="0" w:color="auto"/>
                                                    <w:right w:val="none" w:sz="0" w:space="0" w:color="auto"/>
                                                  </w:divBdr>
                                                  <w:divsChild>
                                                    <w:div w:id="548692737">
                                                      <w:marLeft w:val="0"/>
                                                      <w:marRight w:val="0"/>
                                                      <w:marTop w:val="0"/>
                                                      <w:marBottom w:val="0"/>
                                                      <w:divBdr>
                                                        <w:top w:val="none" w:sz="0" w:space="0" w:color="auto"/>
                                                        <w:left w:val="none" w:sz="0" w:space="0" w:color="auto"/>
                                                        <w:bottom w:val="none" w:sz="0" w:space="0" w:color="auto"/>
                                                        <w:right w:val="none" w:sz="0" w:space="0" w:color="auto"/>
                                                      </w:divBdr>
                                                      <w:divsChild>
                                                        <w:div w:id="493112022">
                                                          <w:marLeft w:val="0"/>
                                                          <w:marRight w:val="0"/>
                                                          <w:marTop w:val="0"/>
                                                          <w:marBottom w:val="0"/>
                                                          <w:divBdr>
                                                            <w:top w:val="none" w:sz="0" w:space="0" w:color="auto"/>
                                                            <w:left w:val="none" w:sz="0" w:space="0" w:color="auto"/>
                                                            <w:bottom w:val="none" w:sz="0" w:space="0" w:color="auto"/>
                                                            <w:right w:val="none" w:sz="0" w:space="0" w:color="auto"/>
                                                          </w:divBdr>
                                                          <w:divsChild>
                                                            <w:div w:id="277180675">
                                                              <w:marLeft w:val="0"/>
                                                              <w:marRight w:val="0"/>
                                                              <w:marTop w:val="0"/>
                                                              <w:marBottom w:val="0"/>
                                                              <w:divBdr>
                                                                <w:top w:val="none" w:sz="0" w:space="0" w:color="auto"/>
                                                                <w:left w:val="none" w:sz="0" w:space="0" w:color="auto"/>
                                                                <w:bottom w:val="none" w:sz="0" w:space="0" w:color="auto"/>
                                                                <w:right w:val="none" w:sz="0" w:space="0" w:color="auto"/>
                                                              </w:divBdr>
                                                              <w:divsChild>
                                                                <w:div w:id="1487470879">
                                                                  <w:marLeft w:val="0"/>
                                                                  <w:marRight w:val="0"/>
                                                                  <w:marTop w:val="0"/>
                                                                  <w:marBottom w:val="30"/>
                                                                  <w:divBdr>
                                                                    <w:top w:val="none" w:sz="0" w:space="0" w:color="auto"/>
                                                                    <w:left w:val="none" w:sz="0" w:space="0" w:color="auto"/>
                                                                    <w:bottom w:val="none" w:sz="0" w:space="0" w:color="auto"/>
                                                                    <w:right w:val="none" w:sz="0" w:space="0" w:color="auto"/>
                                                                  </w:divBdr>
                                                                  <w:divsChild>
                                                                    <w:div w:id="4014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variet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riam-webster.com/dictionary/divers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28"/>
    <w:rsid w:val="004E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32575B5D1647A7BA14039AAA7DC2F6">
    <w:name w:val="5232575B5D1647A7BA14039AAA7DC2F6"/>
    <w:rsid w:val="004E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The15</b:Tag>
    <b:SourceType>Report</b:SourceType>
    <b:Guid>{698F493B-520B-4A92-8493-20DEEB61B341}</b:Guid>
    <b:Title>A Policy and Legal "SYLLBUS" fpr Diversity Programs at Colleges and Universities</b:Title>
    <b:Year>May 2015</b:Year>
    <b:City>Washington, DC</b:City>
    <b:Publisher>College Board</b:Publisher>
    <b:Author>
      <b:Author>
        <b:NameList>
          <b:Person>
            <b:Last>Collaborative</b:Last>
            <b:First>The</b:First>
            <b:Middle>Access and Diversity</b:Middle>
          </b:Person>
        </b:NameList>
      </b:Author>
    </b:Author>
    <b:RefOrder>1</b:RefOrder>
  </b:Source>
  <b:Source>
    <b:Tag>Cha97</b:Tag>
    <b:SourceType>Book</b:SourceType>
    <b:Guid>{51C4EEAF-F442-46A2-80C0-07B47354C750}</b:Guid>
    <b:Title>The Racial Contract</b:Title>
    <b:Year>1997</b:Year>
    <b:Publisher>Cornell University Press</b:Publisher>
    <b:City>Ithica, NY</b:City>
    <b:Author>
      <b:Author>
        <b:NameList>
          <b:Person>
            <b:Last>Mills</b:Last>
            <b:First>Charles</b:First>
            <b:Middle>W.</b:Middle>
          </b:Person>
        </b:NameList>
      </b:Author>
    </b:Author>
    <b:RefOrder>2</b:RefOrder>
  </b:Source>
  <b:Source>
    <b:Tag>Can02</b:Tag>
    <b:SourceType>BookSection</b:SourceType>
    <b:Guid>{35507619-3CA2-4266-973D-FFBF8D327C5E}</b:Guid>
    <b:Author>
      <b:Author>
        <b:NameList>
          <b:Person>
            <b:Last>Canton</b:Last>
            <b:First>Cecil</b:First>
            <b:Middle>E.</b:Middle>
          </b:Person>
        </b:NameList>
      </b:Author>
      <b:BookAuthor>
        <b:NameList>
          <b:Person>
            <b:Last>Lila Jacobs</b:Last>
            <b:First>Jose</b:First>
            <b:Middle>Cintron &amp; Cecil E. Canton</b:Middle>
          </b:Person>
        </b:NameList>
      </b:BookAuthor>
    </b:Author>
    <b:Title>From Slaveship to  Scholarship</b:Title>
    <b:Year>2002</b:Year>
    <b:City>Latham, MD</b:City>
    <b:Publisher>Rowman &amp; Littlefield Publishers, Inc.</b:Publisher>
    <b:Pages>15 - 32</b:Pages>
    <b:BookTitle>The Politics of Survival in Academia: Narratives of Inequity, Resilience and Success</b:BookTitle>
    <b:RefOrder>3</b:RefOrder>
  </b:Source>
  <b:Source>
    <b:Tag>Eli11</b:Tag>
    <b:SourceType>BookSection</b:SourceType>
    <b:Guid>{AB97AE39-FD25-4A05-AA05-6ED70114F669}</b:Guid>
    <b:Author>
      <b:Author>
        <b:NameList>
          <b:Person>
            <b:Last>Roderick</b:Last>
            <b:First>Elizabeth</b:First>
          </b:Person>
        </b:NameList>
      </b:Author>
      <b:BookAuthor>
        <b:NameList>
          <b:Person>
            <b:Last>Groccia</b:Last>
            <b:First>Judith</b:First>
            <b:Middle>Miller and James E.</b:Middle>
          </b:Person>
        </b:NameList>
      </b:BookAuthor>
    </b:Author>
    <b:Title>Difficult Dialogues and Transformational Change Through Cross-Cultural Faculty Development</b:Title>
    <b:BookTitle>To Improve the Academy: Resources for Faculty, Instructional, and Organizational Development</b:BookTitle>
    <b:Year>2011</b:Year>
    <b:Pages>230-244</b:Pages>
    <b:City>San Francisco, CA</b:City>
    <b:Publisher>Jossey-Bass</b:Publisher>
    <b:RefOrder>4</b:RefOrder>
  </b:Source>
  <b:Source>
    <b:Tag>Cec13</b:Tag>
    <b:SourceType>ArticleInAPeriodical</b:SourceType>
    <b:Guid>{516C3E93-454F-4522-AEEC-6071D5CCC74D}</b:Guid>
    <b:Title>A Journey Into Change</b:Title>
    <b:Year>2013</b:Year>
    <b:Pages>17-18</b:Pages>
    <b:Author>
      <b:Author>
        <b:NameList>
          <b:Person>
            <b:Last>Canton</b:Last>
            <b:First>Cecil</b:First>
            <b:Middle>E.</b:Middle>
          </b:Person>
        </b:NameList>
      </b:Author>
    </b:Author>
    <b:PeriodicalTitle>California Faculty: The Magazine of the California Faculty Association</b:PeriodicalTitle>
    <b:Month>Spring</b:Month>
    <b:RefOrder>5</b:RefOrder>
  </b:Source>
  <b:Source>
    <b:Tag>Mer15</b:Tag>
    <b:SourceType>DocumentFromInternetSite</b:SourceType>
    <b:Guid>{47773001-1871-4201-834D-1BA698B88341}</b:Guid>
    <b:Title>Dictionary</b:Title>
    <b:Year>2015</b:Year>
    <b:Month>November</b:Month>
    <b:Day>14</b:Day>
    <b:Author>
      <b:Author>
        <b:NameList>
          <b:Person>
            <b:Last>Merriam-Webster</b:Last>
          </b:Person>
        </b:NameList>
      </b:Author>
    </b:Author>
    <b:InternetSiteTitle>Merriam-Webster</b:InternetSiteTitle>
    <b:YearAccessed>2015</b:YearAccessed>
    <b:MonthAccessed>November</b:MonthAccessed>
    <b:DayAccessed> 14</b:DayAccessed>
    <b:URL>http://www.merriam-webster.com/dictionary/diversity</b:URL>
    <b:RefOrder>6</b:RefOrder>
  </b:Source>
  <b:Source>
    <b:Tag>Fra06</b:Tag>
    <b:SourceType>Book</b:SourceType>
    <b:Guid>{91559AAF-0B6F-418E-955C-C5C1569906CD}</b:Guid>
    <b:Title>Understanding White Privilege: Creating Pathways to Authentic Relationships Across Race</b:Title>
    <b:Year>2006</b:Year>
    <b:Author>
      <b:Author>
        <b:NameList>
          <b:Person>
            <b:Last>Kendall</b:Last>
            <b:First>Frances</b:First>
            <b:Middle>E.</b:Middle>
          </b:Person>
        </b:NameList>
      </b:Author>
    </b:Author>
    <b:City>New York, NY</b:City>
    <b:Publisher>Routledge</b:Publisher>
    <b:RefOrder>7</b:RefOrder>
  </b:Source>
</b:Sources>
</file>

<file path=customXml/itemProps1.xml><?xml version="1.0" encoding="utf-8"?>
<ds:datastoreItem xmlns:ds="http://schemas.openxmlformats.org/officeDocument/2006/customXml" ds:itemID="{0FA76D04-5C75-457E-9444-6B44317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Canton</dc:creator>
  <cp:lastModifiedBy>Rowe, Lorie</cp:lastModifiedBy>
  <cp:revision>2</cp:revision>
  <cp:lastPrinted>2015-11-16T07:30:00Z</cp:lastPrinted>
  <dcterms:created xsi:type="dcterms:W3CDTF">2016-06-09T22:44:00Z</dcterms:created>
  <dcterms:modified xsi:type="dcterms:W3CDTF">2016-06-09T22:44:00Z</dcterms:modified>
</cp:coreProperties>
</file>