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D9B" w:rsidRPr="009D13E1" w:rsidRDefault="009D13E1">
      <w:pPr>
        <w:rPr>
          <w:b/>
        </w:rPr>
      </w:pPr>
      <w:r w:rsidRPr="009D13E1">
        <w:rPr>
          <w:b/>
        </w:rPr>
        <w:t>Internships</w:t>
      </w:r>
    </w:p>
    <w:p w:rsidR="009D13E1" w:rsidRPr="009D13E1" w:rsidRDefault="009D13E1" w:rsidP="009D13E1">
      <w:pPr>
        <w:spacing w:after="200" w:line="480" w:lineRule="auto"/>
        <w:ind w:firstLine="720"/>
        <w:rPr>
          <w:rFonts w:ascii="Calibri" w:eastAsia="Calibri" w:hAnsi="Calibri" w:cs="Times New Roman"/>
        </w:rPr>
      </w:pPr>
      <w:r w:rsidRPr="009D13E1">
        <w:rPr>
          <w:rFonts w:ascii="Calibri" w:eastAsia="Calibri" w:hAnsi="Calibri" w:cs="Times New Roman"/>
        </w:rPr>
        <w:t xml:space="preserve"> An Academic Internship is a stand-alone course that formally integrates the student’s academic study with practical experience in a cooperating organization. It is an on-or-off-campus activity designed to serve educational purposes by offering experience in business, non-profit, or government settings. </w:t>
      </w:r>
    </w:p>
    <w:p w:rsidR="009D13E1" w:rsidRPr="009D13E1" w:rsidRDefault="009D13E1" w:rsidP="009D13E1">
      <w:pPr>
        <w:spacing w:after="200" w:line="480" w:lineRule="auto"/>
        <w:ind w:firstLine="720"/>
        <w:rPr>
          <w:rFonts w:ascii="Calibri" w:eastAsia="Calibri" w:hAnsi="Calibri" w:cs="Times New Roman"/>
        </w:rPr>
      </w:pPr>
      <w:r w:rsidRPr="009D13E1">
        <w:rPr>
          <w:rFonts w:ascii="Calibri" w:eastAsia="Calibri" w:hAnsi="Calibri" w:cs="Times New Roman"/>
        </w:rPr>
        <w:t xml:space="preserve">Students at Sacramento State have opportunities to participate in </w:t>
      </w:r>
      <w:hyperlink r:id="rId4" w:history="1">
        <w:r w:rsidRPr="00BF3ADE">
          <w:rPr>
            <w:rStyle w:val="Hyperlink"/>
            <w:rFonts w:ascii="Calibri" w:eastAsia="Calibri" w:hAnsi="Calibri" w:cs="Times New Roman"/>
          </w:rPr>
          <w:t>Academic Internships</w:t>
        </w:r>
      </w:hyperlink>
      <w:r w:rsidRPr="009D13E1">
        <w:rPr>
          <w:rFonts w:ascii="Calibri" w:eastAsia="Calibri" w:hAnsi="Calibri" w:cs="Times New Roman"/>
        </w:rPr>
        <w:t xml:space="preserve"> for credit through their home departments and internships throu</w:t>
      </w:r>
      <w:r>
        <w:rPr>
          <w:rFonts w:ascii="Calibri" w:eastAsia="Calibri" w:hAnsi="Calibri" w:cs="Times New Roman"/>
        </w:rPr>
        <w:t xml:space="preserve">gh various campus </w:t>
      </w:r>
      <w:proofErr w:type="gramStart"/>
      <w:r>
        <w:rPr>
          <w:rFonts w:ascii="Calibri" w:eastAsia="Calibri" w:hAnsi="Calibri" w:cs="Times New Roman"/>
        </w:rPr>
        <w:t xml:space="preserve">programs </w:t>
      </w:r>
      <w:r w:rsidRPr="009D13E1">
        <w:rPr>
          <w:rFonts w:ascii="Calibri" w:eastAsia="Calibri" w:hAnsi="Calibri" w:cs="Times New Roman"/>
        </w:rPr>
        <w:t>,</w:t>
      </w:r>
      <w:proofErr w:type="gramEnd"/>
      <w:r>
        <w:rPr>
          <w:rFonts w:ascii="Calibri" w:eastAsia="Calibri" w:hAnsi="Calibri" w:cs="Times New Roman"/>
        </w:rPr>
        <w:t xml:space="preserve"> such as </w:t>
      </w:r>
      <w:r w:rsidRPr="009D13E1">
        <w:rPr>
          <w:rFonts w:ascii="Calibri" w:eastAsia="Calibri" w:hAnsi="Calibri" w:cs="Times New Roman"/>
        </w:rPr>
        <w:t xml:space="preserve"> the Department of Government </w:t>
      </w:r>
      <w:r>
        <w:rPr>
          <w:rFonts w:ascii="Calibri" w:eastAsia="Calibri" w:hAnsi="Calibri" w:cs="Times New Roman"/>
        </w:rPr>
        <w:t>which offers</w:t>
      </w:r>
      <w:r w:rsidR="00BF3ADE">
        <w:rPr>
          <w:rFonts w:ascii="Calibri" w:eastAsia="Calibri" w:hAnsi="Calibri" w:cs="Times New Roman"/>
        </w:rPr>
        <w:t xml:space="preserve"> several internship programs.</w:t>
      </w:r>
    </w:p>
    <w:p w:rsidR="009D13E1" w:rsidRPr="009D13E1" w:rsidRDefault="009D13E1" w:rsidP="009D13E1">
      <w:pPr>
        <w:spacing w:after="200" w:line="480" w:lineRule="auto"/>
        <w:ind w:firstLine="720"/>
        <w:rPr>
          <w:rFonts w:ascii="Calibri" w:eastAsia="Calibri" w:hAnsi="Calibri" w:cs="Times New Roman"/>
        </w:rPr>
      </w:pPr>
      <w:r>
        <w:rPr>
          <w:rFonts w:ascii="Calibri" w:eastAsia="Calibri" w:hAnsi="Calibri" w:cs="Times New Roman"/>
        </w:rPr>
        <w:t>A</w:t>
      </w:r>
      <w:r w:rsidRPr="009D13E1">
        <w:rPr>
          <w:rFonts w:ascii="Calibri" w:eastAsia="Calibri" w:hAnsi="Calibri" w:cs="Times New Roman"/>
        </w:rPr>
        <w:t>cademic Internships are identified with the course number 195 for undergraduate students and 295 for graduate students. This table illustrates the number of Sac State students who have participated in academic internships over the past two years:</w:t>
      </w:r>
    </w:p>
    <w:tbl>
      <w:tblPr>
        <w:tblW w:w="0" w:type="auto"/>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2520"/>
        <w:gridCol w:w="2520"/>
        <w:gridCol w:w="2520"/>
        <w:gridCol w:w="1530"/>
      </w:tblGrid>
      <w:tr w:rsidR="009D13E1" w:rsidRPr="009D13E1" w:rsidTr="001B49B1">
        <w:tc>
          <w:tcPr>
            <w:tcW w:w="2520" w:type="dxa"/>
            <w:tcBorders>
              <w:top w:val="single" w:sz="4" w:space="0" w:color="BDD6EE"/>
              <w:left w:val="single" w:sz="4" w:space="0" w:color="BDD6EE"/>
              <w:bottom w:val="single" w:sz="12" w:space="0" w:color="95B3D7"/>
              <w:right w:val="single" w:sz="4" w:space="0" w:color="BDD6EE"/>
            </w:tcBorders>
            <w:shd w:val="clear" w:color="auto" w:fill="auto"/>
            <w:hideMark/>
          </w:tcPr>
          <w:p w:rsidR="009D13E1" w:rsidRPr="009D13E1" w:rsidRDefault="009D13E1" w:rsidP="009D13E1">
            <w:pPr>
              <w:spacing w:after="200" w:line="480" w:lineRule="auto"/>
              <w:rPr>
                <w:rFonts w:ascii="Calibri" w:eastAsia="Times New Roman" w:hAnsi="Calibri" w:cs="Times New Roman"/>
                <w:b/>
                <w:bCs/>
              </w:rPr>
            </w:pPr>
            <w:r w:rsidRPr="009D13E1">
              <w:rPr>
                <w:rFonts w:ascii="Calibri" w:eastAsia="Times New Roman" w:hAnsi="Calibri" w:cs="Times New Roman"/>
                <w:b/>
                <w:bCs/>
              </w:rPr>
              <w:t>Fall, 2013</w:t>
            </w:r>
          </w:p>
        </w:tc>
        <w:tc>
          <w:tcPr>
            <w:tcW w:w="2520" w:type="dxa"/>
            <w:tcBorders>
              <w:top w:val="single" w:sz="4" w:space="0" w:color="BDD6EE"/>
              <w:left w:val="single" w:sz="4" w:space="0" w:color="BDD6EE"/>
              <w:bottom w:val="single" w:sz="12" w:space="0" w:color="95B3D7"/>
              <w:right w:val="single" w:sz="4" w:space="0" w:color="BDD6EE"/>
            </w:tcBorders>
            <w:shd w:val="clear" w:color="auto" w:fill="auto"/>
            <w:hideMark/>
          </w:tcPr>
          <w:p w:rsidR="009D13E1" w:rsidRPr="009D13E1" w:rsidRDefault="009D13E1" w:rsidP="009D13E1">
            <w:pPr>
              <w:spacing w:after="200" w:line="480" w:lineRule="auto"/>
              <w:rPr>
                <w:rFonts w:ascii="Calibri" w:eastAsia="Times New Roman" w:hAnsi="Calibri" w:cs="Times New Roman"/>
                <w:b/>
                <w:bCs/>
              </w:rPr>
            </w:pPr>
            <w:r w:rsidRPr="009D13E1">
              <w:rPr>
                <w:rFonts w:ascii="Calibri" w:eastAsia="Times New Roman" w:hAnsi="Calibri" w:cs="Times New Roman"/>
                <w:b/>
                <w:bCs/>
              </w:rPr>
              <w:t>Spring 2014</w:t>
            </w:r>
          </w:p>
        </w:tc>
        <w:tc>
          <w:tcPr>
            <w:tcW w:w="2520" w:type="dxa"/>
            <w:tcBorders>
              <w:top w:val="single" w:sz="4" w:space="0" w:color="BDD6EE"/>
              <w:left w:val="single" w:sz="4" w:space="0" w:color="BDD6EE"/>
              <w:bottom w:val="single" w:sz="12" w:space="0" w:color="95B3D7"/>
              <w:right w:val="single" w:sz="4" w:space="0" w:color="BDD6EE"/>
            </w:tcBorders>
            <w:shd w:val="clear" w:color="auto" w:fill="auto"/>
            <w:hideMark/>
          </w:tcPr>
          <w:p w:rsidR="009D13E1" w:rsidRPr="009D13E1" w:rsidRDefault="009D13E1" w:rsidP="009D13E1">
            <w:pPr>
              <w:spacing w:after="200" w:line="480" w:lineRule="auto"/>
              <w:rPr>
                <w:rFonts w:ascii="Calibri" w:eastAsia="Times New Roman" w:hAnsi="Calibri" w:cs="Times New Roman"/>
                <w:b/>
                <w:bCs/>
              </w:rPr>
            </w:pPr>
            <w:r w:rsidRPr="009D13E1">
              <w:rPr>
                <w:rFonts w:ascii="Calibri" w:eastAsia="Times New Roman" w:hAnsi="Calibri" w:cs="Times New Roman"/>
                <w:b/>
                <w:bCs/>
              </w:rPr>
              <w:t>Fall, 2014</w:t>
            </w:r>
          </w:p>
        </w:tc>
        <w:tc>
          <w:tcPr>
            <w:tcW w:w="1530" w:type="dxa"/>
            <w:tcBorders>
              <w:top w:val="single" w:sz="4" w:space="0" w:color="BDD6EE"/>
              <w:left w:val="single" w:sz="4" w:space="0" w:color="BDD6EE"/>
              <w:bottom w:val="single" w:sz="12" w:space="0" w:color="95B3D7"/>
              <w:right w:val="single" w:sz="4" w:space="0" w:color="BDD6EE"/>
            </w:tcBorders>
            <w:shd w:val="clear" w:color="auto" w:fill="auto"/>
            <w:hideMark/>
          </w:tcPr>
          <w:p w:rsidR="009D13E1" w:rsidRPr="009D13E1" w:rsidRDefault="009D13E1" w:rsidP="009D13E1">
            <w:pPr>
              <w:spacing w:after="200" w:line="480" w:lineRule="auto"/>
              <w:rPr>
                <w:rFonts w:ascii="Calibri" w:eastAsia="Times New Roman" w:hAnsi="Calibri" w:cs="Times New Roman"/>
                <w:b/>
                <w:bCs/>
              </w:rPr>
            </w:pPr>
            <w:r w:rsidRPr="009D13E1">
              <w:rPr>
                <w:rFonts w:ascii="Calibri" w:eastAsia="Times New Roman" w:hAnsi="Calibri" w:cs="Times New Roman"/>
                <w:b/>
                <w:bCs/>
              </w:rPr>
              <w:t>Spring 2015</w:t>
            </w:r>
          </w:p>
        </w:tc>
      </w:tr>
      <w:tr w:rsidR="009D13E1" w:rsidRPr="009D13E1" w:rsidTr="001B49B1">
        <w:tc>
          <w:tcPr>
            <w:tcW w:w="2520" w:type="dxa"/>
            <w:tcBorders>
              <w:top w:val="single" w:sz="4" w:space="0" w:color="BDD6EE"/>
              <w:left w:val="single" w:sz="4" w:space="0" w:color="BDD6EE"/>
              <w:bottom w:val="single" w:sz="4" w:space="0" w:color="BDD6EE"/>
              <w:right w:val="single" w:sz="4" w:space="0" w:color="BDD6EE"/>
            </w:tcBorders>
            <w:shd w:val="clear" w:color="auto" w:fill="auto"/>
            <w:hideMark/>
          </w:tcPr>
          <w:p w:rsidR="009D13E1" w:rsidRPr="009D13E1" w:rsidRDefault="009D13E1" w:rsidP="009D13E1">
            <w:pPr>
              <w:spacing w:after="200" w:line="480" w:lineRule="auto"/>
              <w:rPr>
                <w:rFonts w:ascii="Calibri" w:eastAsia="Times New Roman" w:hAnsi="Calibri" w:cs="Times New Roman"/>
                <w:b/>
                <w:bCs/>
              </w:rPr>
            </w:pPr>
            <w:r w:rsidRPr="009D13E1">
              <w:rPr>
                <w:rFonts w:ascii="Calibri" w:eastAsia="Times New Roman" w:hAnsi="Calibri" w:cs="Times New Roman"/>
                <w:b/>
                <w:bCs/>
              </w:rPr>
              <w:t>1048</w:t>
            </w:r>
          </w:p>
        </w:tc>
        <w:tc>
          <w:tcPr>
            <w:tcW w:w="2520" w:type="dxa"/>
            <w:tcBorders>
              <w:top w:val="single" w:sz="4" w:space="0" w:color="BDD6EE"/>
              <w:left w:val="single" w:sz="4" w:space="0" w:color="BDD6EE"/>
              <w:bottom w:val="single" w:sz="4" w:space="0" w:color="BDD6EE"/>
              <w:right w:val="single" w:sz="4" w:space="0" w:color="BDD6EE"/>
            </w:tcBorders>
            <w:shd w:val="clear" w:color="auto" w:fill="auto"/>
            <w:hideMark/>
          </w:tcPr>
          <w:p w:rsidR="009D13E1" w:rsidRPr="009D13E1" w:rsidRDefault="009D13E1" w:rsidP="009D13E1">
            <w:pPr>
              <w:spacing w:after="200" w:line="480" w:lineRule="auto"/>
              <w:rPr>
                <w:rFonts w:ascii="Calibri" w:eastAsia="Times New Roman" w:hAnsi="Calibri" w:cs="Times New Roman"/>
              </w:rPr>
            </w:pPr>
            <w:r w:rsidRPr="009D13E1">
              <w:rPr>
                <w:rFonts w:ascii="Calibri" w:eastAsia="Times New Roman" w:hAnsi="Calibri" w:cs="Times New Roman"/>
              </w:rPr>
              <w:t>1124</w:t>
            </w:r>
          </w:p>
        </w:tc>
        <w:tc>
          <w:tcPr>
            <w:tcW w:w="2520" w:type="dxa"/>
            <w:tcBorders>
              <w:top w:val="single" w:sz="4" w:space="0" w:color="BDD6EE"/>
              <w:left w:val="single" w:sz="4" w:space="0" w:color="BDD6EE"/>
              <w:bottom w:val="single" w:sz="4" w:space="0" w:color="BDD6EE"/>
              <w:right w:val="single" w:sz="4" w:space="0" w:color="BDD6EE"/>
            </w:tcBorders>
            <w:shd w:val="clear" w:color="auto" w:fill="auto"/>
            <w:hideMark/>
          </w:tcPr>
          <w:p w:rsidR="009D13E1" w:rsidRPr="009D13E1" w:rsidRDefault="009D13E1" w:rsidP="009D13E1">
            <w:pPr>
              <w:spacing w:after="200" w:line="480" w:lineRule="auto"/>
              <w:rPr>
                <w:rFonts w:ascii="Calibri" w:eastAsia="Times New Roman" w:hAnsi="Calibri" w:cs="Times New Roman"/>
              </w:rPr>
            </w:pPr>
            <w:r w:rsidRPr="009D13E1">
              <w:rPr>
                <w:rFonts w:ascii="Calibri" w:eastAsia="Times New Roman" w:hAnsi="Calibri" w:cs="Times New Roman"/>
              </w:rPr>
              <w:t>899</w:t>
            </w:r>
          </w:p>
        </w:tc>
        <w:tc>
          <w:tcPr>
            <w:tcW w:w="1530" w:type="dxa"/>
            <w:tcBorders>
              <w:top w:val="single" w:sz="4" w:space="0" w:color="BDD6EE"/>
              <w:left w:val="single" w:sz="4" w:space="0" w:color="BDD6EE"/>
              <w:bottom w:val="single" w:sz="4" w:space="0" w:color="BDD6EE"/>
              <w:right w:val="single" w:sz="4" w:space="0" w:color="BDD6EE"/>
            </w:tcBorders>
            <w:shd w:val="clear" w:color="auto" w:fill="auto"/>
            <w:hideMark/>
          </w:tcPr>
          <w:p w:rsidR="009D13E1" w:rsidRPr="009D13E1" w:rsidRDefault="009D13E1" w:rsidP="009D13E1">
            <w:pPr>
              <w:spacing w:after="200" w:line="480" w:lineRule="auto"/>
              <w:rPr>
                <w:rFonts w:ascii="Calibri" w:eastAsia="Times New Roman" w:hAnsi="Calibri" w:cs="Times New Roman"/>
              </w:rPr>
            </w:pPr>
            <w:r w:rsidRPr="009D13E1">
              <w:rPr>
                <w:rFonts w:ascii="Calibri" w:eastAsia="Times New Roman" w:hAnsi="Calibri" w:cs="Times New Roman"/>
              </w:rPr>
              <w:t>1122</w:t>
            </w:r>
          </w:p>
        </w:tc>
      </w:tr>
    </w:tbl>
    <w:p w:rsidR="009D13E1" w:rsidRPr="009D13E1" w:rsidRDefault="009D13E1" w:rsidP="009D13E1">
      <w:pPr>
        <w:spacing w:after="200" w:line="480" w:lineRule="auto"/>
        <w:rPr>
          <w:rFonts w:ascii="Calibri" w:eastAsia="Calibri" w:hAnsi="Calibri" w:cs="Times New Roman"/>
        </w:rPr>
      </w:pPr>
    </w:p>
    <w:p w:rsidR="009D13E1" w:rsidRPr="009D13E1" w:rsidRDefault="009D13E1" w:rsidP="009D13E1">
      <w:pPr>
        <w:spacing w:after="200" w:line="480" w:lineRule="auto"/>
        <w:ind w:firstLine="720"/>
        <w:rPr>
          <w:rFonts w:ascii="Calibri" w:eastAsia="Calibri" w:hAnsi="Calibri" w:cs="Times New Roman"/>
        </w:rPr>
      </w:pPr>
      <w:r w:rsidRPr="009D13E1">
        <w:rPr>
          <w:rFonts w:ascii="Calibri" w:eastAsia="Calibri" w:hAnsi="Calibri" w:cs="Times New Roman"/>
        </w:rPr>
        <w:t xml:space="preserve">Students can also find career-related internships through postings at the </w:t>
      </w:r>
      <w:hyperlink r:id="rId5" w:history="1">
        <w:r w:rsidRPr="00BF3ADE">
          <w:rPr>
            <w:rStyle w:val="Hyperlink"/>
            <w:rFonts w:ascii="Calibri" w:eastAsia="Calibri" w:hAnsi="Calibri" w:cs="Times New Roman"/>
          </w:rPr>
          <w:t xml:space="preserve">Career Center </w:t>
        </w:r>
      </w:hyperlink>
      <w:r w:rsidRPr="009D13E1">
        <w:rPr>
          <w:rFonts w:ascii="Calibri" w:eastAsia="Calibri" w:hAnsi="Calibri" w:cs="Times New Roman"/>
        </w:rPr>
        <w:t xml:space="preserve"> and The </w:t>
      </w:r>
      <w:hyperlink r:id="rId6" w:history="1">
        <w:r w:rsidRPr="00BF3ADE">
          <w:rPr>
            <w:rStyle w:val="Hyperlink"/>
            <w:rFonts w:ascii="Calibri" w:eastAsia="Calibri" w:hAnsi="Calibri" w:cs="Times New Roman"/>
          </w:rPr>
          <w:t>California Intern Network</w:t>
        </w:r>
      </w:hyperlink>
      <w:r w:rsidRPr="009D13E1">
        <w:rPr>
          <w:rFonts w:ascii="Calibri" w:eastAsia="Calibri" w:hAnsi="Calibri" w:cs="Times New Roman"/>
        </w:rPr>
        <w:t xml:space="preserve"> throu</w:t>
      </w:r>
      <w:r w:rsidR="00BF3ADE">
        <w:rPr>
          <w:rFonts w:ascii="Calibri" w:eastAsia="Calibri" w:hAnsi="Calibri" w:cs="Times New Roman"/>
        </w:rPr>
        <w:t>gh University Enterprises, Inc.</w:t>
      </w:r>
      <w:bookmarkStart w:id="0" w:name="_GoBack"/>
      <w:bookmarkEnd w:id="0"/>
    </w:p>
    <w:p w:rsidR="009D13E1" w:rsidRDefault="009D13E1"/>
    <w:sectPr w:rsidR="009D1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E1"/>
    <w:rsid w:val="00144D9B"/>
    <w:rsid w:val="009D13E1"/>
    <w:rsid w:val="00BF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9CC65-0799-43B2-92D3-4F53CB2F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A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linterns.org/" TargetMode="External"/><Relationship Id="rId5" Type="http://schemas.openxmlformats.org/officeDocument/2006/relationships/hyperlink" Target="http://www.csus.edu/careercenter/students/Internships-Volunteerism/index.html" TargetMode="External"/><Relationship Id="rId4" Type="http://schemas.openxmlformats.org/officeDocument/2006/relationships/hyperlink" Target="http://www.csus.edu/govt/Department%20Programs/Internsh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Donath, Jackie R</dc:creator>
  <cp:keywords/>
  <dc:description/>
  <cp:lastModifiedBy>Fitzwater, Shanley</cp:lastModifiedBy>
  <cp:revision>2</cp:revision>
  <dcterms:created xsi:type="dcterms:W3CDTF">2016-07-24T16:25:00Z</dcterms:created>
  <dcterms:modified xsi:type="dcterms:W3CDTF">2016-08-01T15:56:00Z</dcterms:modified>
</cp:coreProperties>
</file>