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0" w:type="auto"/>
        <w:tblBorders>
          <w:top w:val="single" w:sz="12" w:space="0" w:color="A5A5A5"/>
          <w:left w:val="single" w:sz="12" w:space="0" w:color="A5A5A5"/>
          <w:bottom w:val="single" w:sz="12" w:space="0" w:color="A5A5A5"/>
          <w:right w:val="single" w:sz="12" w:space="0" w:color="A5A5A5"/>
          <w:insideH w:val="single" w:sz="8" w:space="0" w:color="A5A5A5"/>
          <w:insideV w:val="single" w:sz="8" w:space="0" w:color="A5A5A5"/>
        </w:tblBorders>
        <w:tblLook w:val="04A0" w:firstRow="1" w:lastRow="0" w:firstColumn="1" w:lastColumn="0" w:noHBand="0" w:noVBand="1"/>
      </w:tblPr>
      <w:tblGrid>
        <w:gridCol w:w="2394"/>
        <w:gridCol w:w="2394"/>
        <w:gridCol w:w="2394"/>
      </w:tblGrid>
      <w:tr w:rsidR="008F447A" w:rsidRPr="000867B5" w:rsidTr="0026334F">
        <w:tc>
          <w:tcPr>
            <w:tcW w:w="2394" w:type="dxa"/>
            <w:tcBorders>
              <w:top w:val="single" w:sz="12" w:space="0" w:color="A5A5A5"/>
              <w:left w:val="nil"/>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Written Communication</w:t>
            </w:r>
          </w:p>
        </w:tc>
        <w:tc>
          <w:tcPr>
            <w:tcW w:w="2394" w:type="dxa"/>
            <w:tcBorders>
              <w:top w:val="single" w:sz="12" w:space="0" w:color="A5A5A5"/>
            </w:tcBorders>
            <w:shd w:val="clear" w:color="auto" w:fill="F5F8EE"/>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2015</w:t>
            </w:r>
          </w:p>
        </w:tc>
        <w:tc>
          <w:tcPr>
            <w:tcW w:w="2394" w:type="dxa"/>
            <w:tcBorders>
              <w:top w:val="single" w:sz="12" w:space="0" w:color="A5A5A5"/>
            </w:tcBorders>
            <w:shd w:val="clear" w:color="auto" w:fill="F5F8EE"/>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2016</w:t>
            </w:r>
          </w:p>
        </w:tc>
      </w:tr>
      <w:tr w:rsidR="008F447A" w:rsidRPr="000867B5" w:rsidTr="0026334F">
        <w:tc>
          <w:tcPr>
            <w:tcW w:w="2394" w:type="dxa"/>
            <w:tcBorders>
              <w:left w:val="single" w:sz="12" w:space="0" w:color="A5A5A5"/>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Capstone (4)</w:t>
            </w:r>
          </w:p>
        </w:tc>
        <w:tc>
          <w:tcPr>
            <w:tcW w:w="2394" w:type="dxa"/>
            <w:tcBorders>
              <w:left w:val="single" w:sz="6" w:space="0" w:color="9BBB59"/>
              <w:righ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50 (12%)</w:t>
            </w:r>
          </w:p>
        </w:tc>
        <w:tc>
          <w:tcPr>
            <w:tcW w:w="2394" w:type="dxa"/>
            <w:tcBorders>
              <w:lef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24 (10%)</w:t>
            </w:r>
          </w:p>
        </w:tc>
      </w:tr>
      <w:tr w:rsidR="008F447A" w:rsidRPr="000867B5" w:rsidTr="0026334F">
        <w:tc>
          <w:tcPr>
            <w:tcW w:w="2394" w:type="dxa"/>
            <w:tcBorders>
              <w:left w:val="nil"/>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Milestone (3)</w:t>
            </w:r>
          </w:p>
        </w:tc>
        <w:tc>
          <w:tcPr>
            <w:tcW w:w="2394" w:type="dxa"/>
            <w:shd w:val="clear" w:color="auto" w:fill="E6EED5"/>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160 (39%)</w:t>
            </w:r>
          </w:p>
        </w:tc>
        <w:tc>
          <w:tcPr>
            <w:tcW w:w="2394" w:type="dxa"/>
            <w:shd w:val="clear" w:color="auto" w:fill="E6EED5"/>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94 (38.5%)</w:t>
            </w:r>
          </w:p>
        </w:tc>
      </w:tr>
      <w:tr w:rsidR="008F447A" w:rsidRPr="000867B5" w:rsidTr="0026334F">
        <w:tc>
          <w:tcPr>
            <w:tcW w:w="2394" w:type="dxa"/>
            <w:tcBorders>
              <w:left w:val="single" w:sz="12" w:space="0" w:color="A5A5A5"/>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Milestone (2)</w:t>
            </w:r>
          </w:p>
        </w:tc>
        <w:tc>
          <w:tcPr>
            <w:tcW w:w="2394" w:type="dxa"/>
            <w:tcBorders>
              <w:left w:val="single" w:sz="6" w:space="0" w:color="9BBB59"/>
              <w:righ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148 (36%)</w:t>
            </w:r>
          </w:p>
        </w:tc>
        <w:tc>
          <w:tcPr>
            <w:tcW w:w="2394" w:type="dxa"/>
            <w:tcBorders>
              <w:lef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99 (40.5%)</w:t>
            </w:r>
          </w:p>
        </w:tc>
      </w:tr>
      <w:tr w:rsidR="008F447A" w:rsidRPr="000867B5" w:rsidTr="0026334F">
        <w:tc>
          <w:tcPr>
            <w:tcW w:w="2394" w:type="dxa"/>
            <w:tcBorders>
              <w:left w:val="nil"/>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Benchmark (1)</w:t>
            </w:r>
          </w:p>
        </w:tc>
        <w:tc>
          <w:tcPr>
            <w:tcW w:w="2394" w:type="dxa"/>
            <w:shd w:val="clear" w:color="auto" w:fill="E6EED5"/>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49 (12%)</w:t>
            </w:r>
          </w:p>
        </w:tc>
        <w:tc>
          <w:tcPr>
            <w:tcW w:w="2394" w:type="dxa"/>
            <w:shd w:val="clear" w:color="auto" w:fill="E6EED5"/>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27 (11%)</w:t>
            </w:r>
          </w:p>
        </w:tc>
      </w:tr>
      <w:tr w:rsidR="008F447A" w:rsidRPr="000867B5" w:rsidTr="0026334F">
        <w:tc>
          <w:tcPr>
            <w:tcW w:w="2394" w:type="dxa"/>
            <w:tcBorders>
              <w:left w:val="single" w:sz="12" w:space="0" w:color="A5A5A5"/>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r w:rsidRPr="000867B5">
              <w:rPr>
                <w:rFonts w:ascii="Times New Roman" w:eastAsia="Times New Roman" w:hAnsi="Times New Roman"/>
                <w:b/>
                <w:bCs/>
                <w:color w:val="000000"/>
                <w:sz w:val="24"/>
                <w:szCs w:val="24"/>
              </w:rPr>
              <w:t>Total</w:t>
            </w:r>
          </w:p>
        </w:tc>
        <w:tc>
          <w:tcPr>
            <w:tcW w:w="2394" w:type="dxa"/>
            <w:tcBorders>
              <w:left w:val="single" w:sz="6" w:space="0" w:color="9BBB59"/>
              <w:righ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407</w:t>
            </w:r>
          </w:p>
        </w:tc>
        <w:tc>
          <w:tcPr>
            <w:tcW w:w="2394" w:type="dxa"/>
            <w:tcBorders>
              <w:lef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r w:rsidRPr="000867B5">
              <w:rPr>
                <w:rFonts w:ascii="Times New Roman" w:eastAsia="Times New Roman" w:hAnsi="Times New Roman"/>
                <w:color w:val="000000"/>
                <w:sz w:val="24"/>
                <w:szCs w:val="24"/>
              </w:rPr>
              <w:t>244</w:t>
            </w:r>
          </w:p>
        </w:tc>
      </w:tr>
      <w:tr w:rsidR="008F447A" w:rsidRPr="000867B5" w:rsidTr="0026334F">
        <w:tc>
          <w:tcPr>
            <w:tcW w:w="2394" w:type="dxa"/>
            <w:tcBorders>
              <w:left w:val="nil"/>
              <w:bottom w:val="nil"/>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p>
        </w:tc>
        <w:tc>
          <w:tcPr>
            <w:tcW w:w="2394" w:type="dxa"/>
            <w:shd w:val="clear" w:color="auto" w:fill="E6EED5"/>
          </w:tcPr>
          <w:p w:rsidR="008F447A" w:rsidRPr="000867B5" w:rsidRDefault="008F447A" w:rsidP="0026334F">
            <w:pPr>
              <w:spacing w:line="480" w:lineRule="auto"/>
              <w:rPr>
                <w:rFonts w:ascii="Times New Roman" w:eastAsia="Times New Roman" w:hAnsi="Times New Roman"/>
                <w:color w:val="000000"/>
                <w:sz w:val="24"/>
                <w:szCs w:val="24"/>
              </w:rPr>
            </w:pPr>
          </w:p>
        </w:tc>
        <w:tc>
          <w:tcPr>
            <w:tcW w:w="2394" w:type="dxa"/>
            <w:shd w:val="clear" w:color="auto" w:fill="E6EED5"/>
          </w:tcPr>
          <w:p w:rsidR="008F447A" w:rsidRPr="000867B5" w:rsidRDefault="008F447A" w:rsidP="0026334F">
            <w:pPr>
              <w:spacing w:line="480" w:lineRule="auto"/>
              <w:rPr>
                <w:rFonts w:ascii="Times New Roman" w:eastAsia="Times New Roman" w:hAnsi="Times New Roman"/>
                <w:color w:val="000000"/>
                <w:sz w:val="24"/>
                <w:szCs w:val="24"/>
              </w:rPr>
            </w:pPr>
          </w:p>
        </w:tc>
      </w:tr>
      <w:tr w:rsidR="008F447A" w:rsidRPr="000867B5" w:rsidTr="0026334F">
        <w:tc>
          <w:tcPr>
            <w:tcW w:w="2394" w:type="dxa"/>
            <w:tcBorders>
              <w:left w:val="single" w:sz="12" w:space="0" w:color="A5A5A5"/>
              <w:bottom w:val="single" w:sz="12" w:space="0" w:color="A5A5A5"/>
              <w:right w:val="nil"/>
            </w:tcBorders>
            <w:shd w:val="clear" w:color="auto" w:fill="FFFFFF"/>
          </w:tcPr>
          <w:p w:rsidR="008F447A" w:rsidRPr="000867B5" w:rsidRDefault="008F447A" w:rsidP="0026334F">
            <w:pPr>
              <w:spacing w:line="480" w:lineRule="auto"/>
              <w:rPr>
                <w:rFonts w:ascii="Times New Roman" w:eastAsia="Times New Roman" w:hAnsi="Times New Roman"/>
                <w:b/>
                <w:bCs/>
                <w:color w:val="000000"/>
                <w:sz w:val="24"/>
                <w:szCs w:val="24"/>
              </w:rPr>
            </w:pPr>
          </w:p>
        </w:tc>
        <w:tc>
          <w:tcPr>
            <w:tcW w:w="2394" w:type="dxa"/>
            <w:tcBorders>
              <w:left w:val="single" w:sz="6" w:space="0" w:color="9BBB59"/>
              <w:bottom w:val="single" w:sz="12" w:space="0" w:color="A5A5A5"/>
              <w:right w:val="single" w:sz="6" w:space="0" w:color="9BBB59"/>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p>
        </w:tc>
        <w:tc>
          <w:tcPr>
            <w:tcW w:w="2394" w:type="dxa"/>
            <w:tcBorders>
              <w:left w:val="single" w:sz="6" w:space="0" w:color="9BBB59"/>
              <w:bottom w:val="single" w:sz="12" w:space="0" w:color="A5A5A5"/>
            </w:tcBorders>
            <w:shd w:val="clear" w:color="auto" w:fill="CDDDAC"/>
          </w:tcPr>
          <w:p w:rsidR="008F447A" w:rsidRPr="000867B5" w:rsidRDefault="008F447A" w:rsidP="0026334F">
            <w:pPr>
              <w:spacing w:line="480" w:lineRule="auto"/>
              <w:rPr>
                <w:rFonts w:ascii="Times New Roman" w:eastAsia="Times New Roman" w:hAnsi="Times New Roman"/>
                <w:color w:val="000000"/>
                <w:sz w:val="24"/>
                <w:szCs w:val="24"/>
              </w:rPr>
            </w:pPr>
          </w:p>
        </w:tc>
      </w:tr>
    </w:tbl>
    <w:p w:rsidR="008F447A" w:rsidRPr="000867B5" w:rsidRDefault="0026334F" w:rsidP="008F447A">
      <w:pPr>
        <w:spacing w:line="480" w:lineRule="auto"/>
        <w:outlineLvl w:val="0"/>
        <w:rPr>
          <w:rFonts w:ascii="Times New Roman" w:hAnsi="Times New Roman"/>
          <w:sz w:val="24"/>
          <w:szCs w:val="24"/>
        </w:rPr>
      </w:pPr>
      <w:r>
        <w:rPr>
          <w:rFonts w:ascii="Times New Roman" w:hAnsi="Times New Roman"/>
          <w:sz w:val="24"/>
          <w:szCs w:val="24"/>
        </w:rPr>
        <w:t>Written Communications Findings</w:t>
      </w: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26334F" w:rsidRDefault="0026334F" w:rsidP="008F447A">
      <w:pPr>
        <w:spacing w:line="480" w:lineRule="auto"/>
        <w:ind w:firstLine="220"/>
        <w:outlineLvl w:val="0"/>
        <w:rPr>
          <w:rFonts w:ascii="Times New Roman" w:hAnsi="Times New Roman"/>
          <w:sz w:val="24"/>
          <w:szCs w:val="24"/>
        </w:rPr>
      </w:pPr>
    </w:p>
    <w:p w:rsidR="008F447A" w:rsidRPr="000867B5" w:rsidRDefault="008F447A" w:rsidP="008F447A">
      <w:pPr>
        <w:spacing w:line="480" w:lineRule="auto"/>
        <w:ind w:firstLine="220"/>
        <w:outlineLvl w:val="0"/>
        <w:rPr>
          <w:rFonts w:ascii="Times New Roman" w:hAnsi="Times New Roman"/>
          <w:sz w:val="24"/>
          <w:szCs w:val="24"/>
        </w:rPr>
      </w:pPr>
      <w:bookmarkStart w:id="0" w:name="_GoBack"/>
      <w:bookmarkEnd w:id="0"/>
      <w:r w:rsidRPr="000867B5">
        <w:rPr>
          <w:rFonts w:ascii="Times New Roman" w:hAnsi="Times New Roman"/>
          <w:sz w:val="24"/>
          <w:szCs w:val="24"/>
        </w:rPr>
        <w:t>On the surface, the initial data would suggest that at the junior and senior-levels, close to 50% of our students who have successfully placed into an upper-division writing course have been assessed at either the Benchmark or lower milestone.  This initial data set, however, is only the beginning of what Sacramento State will need in order to adequately determine 1) if our graduating students have attained the level of competence in written communication that we think is the standard for our institution; and 2) whether our current GWAR assessment is a valid measure of a graduation requirement.</w:t>
      </w:r>
    </w:p>
    <w:p w:rsidR="008F447A" w:rsidRPr="000867B5" w:rsidRDefault="008F447A" w:rsidP="008F447A">
      <w:pPr>
        <w:spacing w:after="0" w:line="480" w:lineRule="auto"/>
        <w:ind w:firstLine="220"/>
        <w:outlineLvl w:val="0"/>
        <w:rPr>
          <w:rFonts w:ascii="Times New Roman" w:hAnsi="Times New Roman"/>
          <w:sz w:val="24"/>
          <w:szCs w:val="24"/>
        </w:rPr>
      </w:pPr>
      <w:r w:rsidRPr="000867B5">
        <w:rPr>
          <w:rFonts w:ascii="Times New Roman" w:hAnsi="Times New Roman"/>
          <w:sz w:val="24"/>
          <w:szCs w:val="24"/>
        </w:rPr>
        <w:lastRenderedPageBreak/>
        <w:t>Furthermore, the activities themselves raised important questions among those who scored the essays:</w:t>
      </w:r>
    </w:p>
    <w:p w:rsidR="008F447A" w:rsidRPr="000867B5" w:rsidRDefault="008F447A" w:rsidP="008F447A">
      <w:pPr>
        <w:widowControl w:val="0"/>
        <w:numPr>
          <w:ilvl w:val="0"/>
          <w:numId w:val="1"/>
        </w:numPr>
        <w:tabs>
          <w:tab w:val="left" w:pos="220"/>
          <w:tab w:val="left" w:pos="720"/>
        </w:tabs>
        <w:autoSpaceDE w:val="0"/>
        <w:autoSpaceDN w:val="0"/>
        <w:adjustRightInd w:val="0"/>
        <w:spacing w:after="0" w:line="480" w:lineRule="auto"/>
        <w:ind w:hanging="720"/>
        <w:rPr>
          <w:rFonts w:ascii="Times New Roman" w:hAnsi="Times New Roman"/>
          <w:sz w:val="24"/>
          <w:szCs w:val="24"/>
        </w:rPr>
      </w:pPr>
      <w:r w:rsidRPr="000867B5">
        <w:rPr>
          <w:rFonts w:ascii="Times New Roman" w:hAnsi="Times New Roman"/>
          <w:sz w:val="24"/>
          <w:szCs w:val="24"/>
        </w:rPr>
        <w:t>What are we assessing (academic writing, personal writing, etc.)?</w:t>
      </w:r>
    </w:p>
    <w:p w:rsidR="008F447A" w:rsidRPr="000867B5" w:rsidRDefault="008F447A" w:rsidP="008F447A">
      <w:pPr>
        <w:widowControl w:val="0"/>
        <w:numPr>
          <w:ilvl w:val="0"/>
          <w:numId w:val="1"/>
        </w:numPr>
        <w:tabs>
          <w:tab w:val="left" w:pos="220"/>
          <w:tab w:val="left" w:pos="720"/>
        </w:tabs>
        <w:autoSpaceDE w:val="0"/>
        <w:autoSpaceDN w:val="0"/>
        <w:adjustRightInd w:val="0"/>
        <w:spacing w:after="0" w:line="480" w:lineRule="auto"/>
        <w:ind w:hanging="720"/>
        <w:rPr>
          <w:rFonts w:ascii="Times New Roman" w:hAnsi="Times New Roman"/>
          <w:sz w:val="24"/>
          <w:szCs w:val="24"/>
        </w:rPr>
      </w:pPr>
      <w:r w:rsidRPr="000867B5">
        <w:rPr>
          <w:rFonts w:ascii="Times New Roman" w:hAnsi="Times New Roman"/>
          <w:sz w:val="24"/>
          <w:szCs w:val="24"/>
        </w:rPr>
        <w:t>What should our assessment tell us about writing competencies?</w:t>
      </w:r>
    </w:p>
    <w:p w:rsidR="008F447A" w:rsidRPr="000867B5" w:rsidRDefault="008F447A" w:rsidP="008F447A">
      <w:pPr>
        <w:widowControl w:val="0"/>
        <w:numPr>
          <w:ilvl w:val="0"/>
          <w:numId w:val="1"/>
        </w:numPr>
        <w:tabs>
          <w:tab w:val="left" w:pos="220"/>
          <w:tab w:val="left" w:pos="720"/>
        </w:tabs>
        <w:autoSpaceDE w:val="0"/>
        <w:autoSpaceDN w:val="0"/>
        <w:adjustRightInd w:val="0"/>
        <w:spacing w:after="0" w:line="480" w:lineRule="auto"/>
        <w:ind w:hanging="720"/>
        <w:rPr>
          <w:rFonts w:ascii="Times New Roman" w:hAnsi="Times New Roman"/>
          <w:sz w:val="24"/>
          <w:szCs w:val="24"/>
        </w:rPr>
      </w:pPr>
      <w:r w:rsidRPr="000867B5">
        <w:rPr>
          <w:rFonts w:ascii="Times New Roman" w:hAnsi="Times New Roman"/>
          <w:sz w:val="24"/>
          <w:szCs w:val="24"/>
        </w:rPr>
        <w:t>What are the assessment moments (from lower to upper division, at senior level, etc.)?</w:t>
      </w:r>
    </w:p>
    <w:p w:rsidR="008F447A" w:rsidRPr="000867B5" w:rsidRDefault="008F447A" w:rsidP="008F447A">
      <w:pPr>
        <w:widowControl w:val="0"/>
        <w:numPr>
          <w:ilvl w:val="0"/>
          <w:numId w:val="1"/>
        </w:numPr>
        <w:tabs>
          <w:tab w:val="left" w:pos="220"/>
          <w:tab w:val="left" w:pos="720"/>
        </w:tabs>
        <w:autoSpaceDE w:val="0"/>
        <w:autoSpaceDN w:val="0"/>
        <w:adjustRightInd w:val="0"/>
        <w:spacing w:after="0" w:line="480" w:lineRule="auto"/>
        <w:ind w:hanging="720"/>
        <w:rPr>
          <w:rFonts w:ascii="Times New Roman" w:hAnsi="Times New Roman"/>
          <w:sz w:val="24"/>
          <w:szCs w:val="24"/>
        </w:rPr>
      </w:pPr>
      <w:r w:rsidRPr="000867B5">
        <w:rPr>
          <w:rFonts w:ascii="Times New Roman" w:hAnsi="Times New Roman"/>
          <w:sz w:val="24"/>
          <w:szCs w:val="24"/>
        </w:rPr>
        <w:t>Do we have a consistent idea across disciplines, faculty, etc. of the quality of writing? In other words, could/does a WI faculty member assign a passing grade to a paper that during the WASC reading we would give a 1-Benchmark score? Are WI instructors passing students that WASC readers would not consider having met the graduation writing competency?</w:t>
      </w:r>
    </w:p>
    <w:p w:rsidR="008F447A" w:rsidRPr="000867B5" w:rsidRDefault="008F447A" w:rsidP="008F447A">
      <w:pPr>
        <w:widowControl w:val="0"/>
        <w:numPr>
          <w:ilvl w:val="0"/>
          <w:numId w:val="1"/>
        </w:numPr>
        <w:tabs>
          <w:tab w:val="left" w:pos="220"/>
          <w:tab w:val="left" w:pos="720"/>
        </w:tabs>
        <w:autoSpaceDE w:val="0"/>
        <w:autoSpaceDN w:val="0"/>
        <w:adjustRightInd w:val="0"/>
        <w:spacing w:after="0" w:line="480" w:lineRule="auto"/>
        <w:ind w:hanging="720"/>
        <w:rPr>
          <w:rFonts w:ascii="Times New Roman" w:hAnsi="Times New Roman"/>
          <w:sz w:val="24"/>
          <w:szCs w:val="24"/>
        </w:rPr>
      </w:pPr>
      <w:r w:rsidRPr="000867B5">
        <w:rPr>
          <w:rFonts w:ascii="Times New Roman" w:hAnsi="Times New Roman"/>
          <w:sz w:val="24"/>
          <w:szCs w:val="24"/>
        </w:rPr>
        <w:t>What do we expect students to learn / accomplish at each level of writing instruction?</w:t>
      </w:r>
    </w:p>
    <w:p w:rsidR="008F447A" w:rsidRPr="000867B5" w:rsidRDefault="008F447A" w:rsidP="008F447A">
      <w:pPr>
        <w:widowControl w:val="0"/>
        <w:numPr>
          <w:ilvl w:val="0"/>
          <w:numId w:val="1"/>
        </w:numPr>
        <w:tabs>
          <w:tab w:val="left" w:pos="220"/>
          <w:tab w:val="left" w:pos="720"/>
        </w:tabs>
        <w:autoSpaceDE w:val="0"/>
        <w:autoSpaceDN w:val="0"/>
        <w:adjustRightInd w:val="0"/>
        <w:spacing w:after="0" w:line="480" w:lineRule="auto"/>
        <w:ind w:hanging="720"/>
        <w:rPr>
          <w:rFonts w:ascii="Times New Roman" w:hAnsi="Times New Roman"/>
          <w:sz w:val="24"/>
          <w:szCs w:val="24"/>
        </w:rPr>
      </w:pPr>
      <w:r w:rsidRPr="000867B5">
        <w:rPr>
          <w:rFonts w:ascii="Times New Roman" w:hAnsi="Times New Roman"/>
          <w:sz w:val="24"/>
          <w:szCs w:val="24"/>
        </w:rPr>
        <w:t>Do WI instructors have consistent expectations, assignments, etc. if we're using the WI grade as the graduation requirement for writing competency? Should there be norming across WI faculty?</w:t>
      </w:r>
      <w:r w:rsidRPr="000867B5">
        <w:rPr>
          <w:rFonts w:ascii="Times New Roman" w:hAnsi="Times New Roman"/>
          <w:sz w:val="24"/>
          <w:szCs w:val="24"/>
        </w:rPr>
        <w:tab/>
      </w:r>
    </w:p>
    <w:p w:rsidR="004B7630" w:rsidRPr="00722A4C" w:rsidRDefault="004B7630">
      <w:pPr>
        <w:rPr>
          <w:rFonts w:ascii="Times New Roman" w:hAnsi="Times New Roman"/>
          <w:sz w:val="24"/>
          <w:szCs w:val="24"/>
        </w:rPr>
      </w:pPr>
    </w:p>
    <w:sectPr w:rsidR="004B7630" w:rsidRPr="00722A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40" w:rsidRDefault="00212440" w:rsidP="0026334F">
      <w:pPr>
        <w:spacing w:after="0" w:line="240" w:lineRule="auto"/>
      </w:pPr>
      <w:r>
        <w:separator/>
      </w:r>
    </w:p>
  </w:endnote>
  <w:endnote w:type="continuationSeparator" w:id="0">
    <w:p w:rsidR="00212440" w:rsidRDefault="00212440" w:rsidP="0026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40" w:rsidRDefault="00212440" w:rsidP="0026334F">
      <w:pPr>
        <w:spacing w:after="0" w:line="240" w:lineRule="auto"/>
      </w:pPr>
      <w:r>
        <w:separator/>
      </w:r>
    </w:p>
  </w:footnote>
  <w:footnote w:type="continuationSeparator" w:id="0">
    <w:p w:rsidR="00212440" w:rsidRDefault="00212440" w:rsidP="00263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7A"/>
    <w:rsid w:val="00212440"/>
    <w:rsid w:val="0026334F"/>
    <w:rsid w:val="004B7630"/>
    <w:rsid w:val="00722A4C"/>
    <w:rsid w:val="008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1FEEE-542C-49F8-B7BB-2A0BFF2A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4F"/>
    <w:rPr>
      <w:rFonts w:ascii="Calibri" w:eastAsia="Calibri" w:hAnsi="Calibri" w:cs="Times New Roman"/>
    </w:rPr>
  </w:style>
  <w:style w:type="paragraph" w:styleId="Footer">
    <w:name w:val="footer"/>
    <w:basedOn w:val="Normal"/>
    <w:link w:val="FooterChar"/>
    <w:uiPriority w:val="99"/>
    <w:unhideWhenUsed/>
    <w:rsid w:val="00263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Fitzwater, Shanley</dc:creator>
  <cp:keywords/>
  <dc:description/>
  <cp:lastModifiedBy>Fitzwater, Shanley</cp:lastModifiedBy>
  <cp:revision>2</cp:revision>
  <dcterms:created xsi:type="dcterms:W3CDTF">2016-07-27T18:49:00Z</dcterms:created>
  <dcterms:modified xsi:type="dcterms:W3CDTF">2016-07-27T20:38:00Z</dcterms:modified>
</cp:coreProperties>
</file>