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00" w:rsidRPr="004618ED" w:rsidRDefault="00313700" w:rsidP="00313700">
      <w:pPr>
        <w:rPr>
          <w:b/>
        </w:rPr>
      </w:pPr>
      <w:r w:rsidRPr="004618ED">
        <w:rPr>
          <w:b/>
        </w:rPr>
        <w:t>Quality Matters Rubric Checklist for New Courses</w:t>
      </w:r>
    </w:p>
    <w:p w:rsidR="00313700" w:rsidRDefault="00313700" w:rsidP="00313700">
      <w:r>
        <w:t xml:space="preserve">Based on research-supported and published best practices, the QM Rubric is a set of standards by which to evaluate the design of online and blended courses. This checklist </w:t>
      </w:r>
      <w:proofErr w:type="spellStart"/>
      <w:r>
        <w:t>doe</w:t>
      </w:r>
      <w:proofErr w:type="spellEnd"/>
      <w:r>
        <w:t xml:space="preserve"> not include the full descriptions and annotations of the entire QM Rubric, but by using this checklist in the design and building of your online courses, you are taking a major step to building a quality online course that will greatly improve student </w:t>
      </w:r>
      <w:r w:rsidR="00B5359D">
        <w:t xml:space="preserve">retention and </w:t>
      </w:r>
      <w:r>
        <w:t>success in your courses</w:t>
      </w:r>
      <w:r w:rsidR="00B5359D">
        <w:t>, make your course easier to manage</w:t>
      </w:r>
      <w:r>
        <w:t>.</w:t>
      </w:r>
    </w:p>
    <w:tbl>
      <w:tblPr>
        <w:tblStyle w:val="TableGrid"/>
        <w:tblW w:w="10008" w:type="dxa"/>
        <w:tblLook w:val="04A0"/>
      </w:tblPr>
      <w:tblGrid>
        <w:gridCol w:w="558"/>
        <w:gridCol w:w="7830"/>
        <w:gridCol w:w="1620"/>
      </w:tblGrid>
      <w:tr w:rsidR="00313700" w:rsidRPr="00313700" w:rsidTr="00313DFB">
        <w:tc>
          <w:tcPr>
            <w:tcW w:w="8388" w:type="dxa"/>
            <w:gridSpan w:val="2"/>
          </w:tcPr>
          <w:p w:rsidR="00313700" w:rsidRPr="00313700" w:rsidRDefault="00313700" w:rsidP="00313700">
            <w:pPr>
              <w:jc w:val="center"/>
              <w:rPr>
                <w:b/>
              </w:rPr>
            </w:pPr>
            <w:r w:rsidRPr="00313700">
              <w:rPr>
                <w:b/>
              </w:rPr>
              <w:t>Standard</w:t>
            </w:r>
          </w:p>
        </w:tc>
        <w:tc>
          <w:tcPr>
            <w:tcW w:w="1620" w:type="dxa"/>
          </w:tcPr>
          <w:p w:rsidR="00313700" w:rsidRPr="00313700" w:rsidRDefault="00313700" w:rsidP="00313700">
            <w:pPr>
              <w:jc w:val="center"/>
              <w:rPr>
                <w:b/>
              </w:rPr>
            </w:pPr>
            <w:r w:rsidRPr="00313700">
              <w:rPr>
                <w:b/>
              </w:rPr>
              <w:t>Done</w:t>
            </w:r>
          </w:p>
        </w:tc>
      </w:tr>
      <w:tr w:rsidR="004618ED" w:rsidTr="004618ED">
        <w:tc>
          <w:tcPr>
            <w:tcW w:w="10008" w:type="dxa"/>
            <w:gridSpan w:val="3"/>
            <w:shd w:val="clear" w:color="auto" w:fill="D9D9D9" w:themeFill="background1" w:themeFillShade="D9"/>
          </w:tcPr>
          <w:p w:rsidR="004618ED" w:rsidRDefault="004618ED" w:rsidP="004618ED">
            <w:r w:rsidRPr="004618ED">
              <w:rPr>
                <w:b/>
              </w:rPr>
              <w:t>General Standard 1:</w:t>
            </w:r>
            <w:r>
              <w:t xml:space="preserve"> Course Overview and introduction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1.1: How to get started instructions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1.2: Purpose and structure of  course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1.3: Netiquette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1.4 Course/Program/Institution Policies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1.5: Prerequisites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1.6: Minimum technical skills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1.7: Self introduction by instructor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618ED">
            <w:r>
              <w:t>1.8: Students are asked to introduce themselves to class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4618ED" w:rsidTr="004618ED">
        <w:tc>
          <w:tcPr>
            <w:tcW w:w="10008" w:type="dxa"/>
            <w:gridSpan w:val="3"/>
            <w:shd w:val="clear" w:color="auto" w:fill="D9D9D9" w:themeFill="background1" w:themeFillShade="D9"/>
          </w:tcPr>
          <w:p w:rsidR="004618ED" w:rsidRDefault="004618ED" w:rsidP="004618ED">
            <w:r w:rsidRPr="004618ED">
              <w:rPr>
                <w:b/>
                <w:shd w:val="clear" w:color="auto" w:fill="D9D9D9" w:themeFill="background1" w:themeFillShade="D9"/>
              </w:rPr>
              <w:t>General Standard 2:</w:t>
            </w:r>
            <w:r>
              <w:t xml:space="preserve"> Learning Objectives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2.1: Course-level learning objectives (measurable)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2.2: Module-level learning objectives (measurable and consistent with course-level)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2.3: Learning objectives written from student’s perspective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2.4: Instruction on how students can meet learning objectives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2.5: Learning objectives appropriate for level of course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B5359D" w:rsidTr="00B5359D">
        <w:tc>
          <w:tcPr>
            <w:tcW w:w="10008" w:type="dxa"/>
            <w:gridSpan w:val="3"/>
            <w:shd w:val="clear" w:color="auto" w:fill="D9D9D9" w:themeFill="background1" w:themeFillShade="D9"/>
          </w:tcPr>
          <w:p w:rsidR="00B5359D" w:rsidRDefault="00B5359D" w:rsidP="00B5359D">
            <w:r w:rsidRPr="00B5359D">
              <w:rPr>
                <w:b/>
              </w:rPr>
              <w:t>General Standard 3</w:t>
            </w:r>
            <w:r>
              <w:t>: Assessment and Measurement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3.1: Assessments measure stated objectives and are consistent with course activities and resources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3.2: Grading policy is clearly stated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5359D">
            <w:r>
              <w:t>3.3: Specific and descriptive criteria for evaluation of student work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3.4: Assessments are sequenced, varied and appropriate to work being assessed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3.5: Students have multiple opportunities to measure own learning progress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BD4CC7" w:rsidTr="00BD4CC7">
        <w:tc>
          <w:tcPr>
            <w:tcW w:w="10008" w:type="dxa"/>
            <w:gridSpan w:val="3"/>
            <w:shd w:val="clear" w:color="auto" w:fill="D9D9D9" w:themeFill="background1" w:themeFillShade="D9"/>
          </w:tcPr>
          <w:p w:rsidR="00BD4CC7" w:rsidRDefault="00BD4CC7" w:rsidP="00BD4CC7">
            <w:r w:rsidRPr="00BD4CC7">
              <w:rPr>
                <w:b/>
              </w:rPr>
              <w:t>General Standard 4:</w:t>
            </w:r>
            <w:r>
              <w:t xml:space="preserve"> Instructional Materials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 w:rsidP="00BD4CC7">
            <w:r>
              <w:t>4.1: Instructional materials contribute to achievement of learning objectives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4.2: Purpose of instructional materials is explained to students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4.3: All resources and materials are appropriately cited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4.4 Instructional materials are current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4.5: Instructional materials present a variety of perspectives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4.6: Required and optional materials are clearly noted.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BD4CC7" w:rsidTr="00BD4CC7">
        <w:tc>
          <w:tcPr>
            <w:tcW w:w="10008" w:type="dxa"/>
            <w:gridSpan w:val="3"/>
            <w:shd w:val="clear" w:color="auto" w:fill="D9D9D9" w:themeFill="background1" w:themeFillShade="D9"/>
          </w:tcPr>
          <w:p w:rsidR="00BD4CC7" w:rsidRDefault="00BD4CC7" w:rsidP="00BD4CC7">
            <w:r w:rsidRPr="00BD4CC7">
              <w:rPr>
                <w:b/>
              </w:rPr>
              <w:t>General Standard 5:</w:t>
            </w:r>
            <w:r>
              <w:t xml:space="preserve"> Learner Interaction and Engagement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BD4CC7">
            <w:r>
              <w:t>5.1: Learning activities promote achievement of learning objectives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3E29A4">
            <w:r>
              <w:t>5.2: Learning activities provide opportunities for interaction that support active learning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3E29A4">
            <w:r>
              <w:t>5.3: Instructor plan for classroom response time and feedback on assignments is clear</w:t>
            </w:r>
            <w:r w:rsidR="00480B6C">
              <w:t>ly stated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80B6C">
            <w:r>
              <w:t>5.4: Requirements for student interactions are clearly articulated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480B6C" w:rsidTr="00480B6C">
        <w:tc>
          <w:tcPr>
            <w:tcW w:w="10008" w:type="dxa"/>
            <w:gridSpan w:val="3"/>
            <w:shd w:val="clear" w:color="auto" w:fill="D9D9D9" w:themeFill="background1" w:themeFillShade="D9"/>
          </w:tcPr>
          <w:p w:rsidR="00480B6C" w:rsidRDefault="00480B6C" w:rsidP="00480B6C">
            <w:r w:rsidRPr="00480B6C">
              <w:rPr>
                <w:b/>
              </w:rPr>
              <w:t>General Standard 6:</w:t>
            </w:r>
            <w:r>
              <w:t xml:space="preserve"> Course Technology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80B6C">
            <w:r>
              <w:t>6.1: Tools and media support course learning objectives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80B6C">
            <w:r>
              <w:t>6.2: Tools and media support student engagement and guide student to become an active learner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80B6C">
            <w:r>
              <w:t>6.3: Navigation throughout the online components is logical and consistent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80B6C">
            <w:r>
              <w:t>6.4: Students can readily  access the required technologies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480B6C">
            <w:r>
              <w:t>6.5: Course technologies are current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480B6C" w:rsidTr="00480B6C">
        <w:tc>
          <w:tcPr>
            <w:tcW w:w="10008" w:type="dxa"/>
            <w:gridSpan w:val="3"/>
            <w:shd w:val="clear" w:color="auto" w:fill="D9D9D9" w:themeFill="background1" w:themeFillShade="D9"/>
          </w:tcPr>
          <w:p w:rsidR="00480B6C" w:rsidRDefault="00480B6C" w:rsidP="00480B6C">
            <w:r w:rsidRPr="00E14747">
              <w:rPr>
                <w:b/>
              </w:rPr>
              <w:t>General Standard 7:</w:t>
            </w:r>
            <w:r>
              <w:t xml:space="preserve"> </w:t>
            </w:r>
            <w:r w:rsidR="00E14747">
              <w:t>Learner Support</w:t>
            </w:r>
          </w:p>
        </w:tc>
      </w:tr>
      <w:tr w:rsidR="00313700" w:rsidTr="004618ED">
        <w:tc>
          <w:tcPr>
            <w:tcW w:w="558" w:type="dxa"/>
          </w:tcPr>
          <w:p w:rsidR="00313700" w:rsidRDefault="00313700"/>
        </w:tc>
        <w:tc>
          <w:tcPr>
            <w:tcW w:w="7830" w:type="dxa"/>
          </w:tcPr>
          <w:p w:rsidR="00313700" w:rsidRDefault="00E14747">
            <w:r>
              <w:t>7.1: Instructions or link to technical support for students and how to access it</w:t>
            </w:r>
          </w:p>
        </w:tc>
        <w:tc>
          <w:tcPr>
            <w:tcW w:w="1620" w:type="dxa"/>
          </w:tcPr>
          <w:p w:rsidR="00313700" w:rsidRDefault="00313700" w:rsidP="00313700">
            <w:pPr>
              <w:jc w:val="center"/>
            </w:pP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7.2: Description or link to institutional accessibility policies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7.3: Description or link to academic support services for students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7.4: Explanation or link to how student support services can help students succeed, and how they can be accessed.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  <w:tr w:rsidR="00E14747" w:rsidTr="00E14747">
        <w:tc>
          <w:tcPr>
            <w:tcW w:w="10008" w:type="dxa"/>
            <w:gridSpan w:val="3"/>
            <w:shd w:val="clear" w:color="auto" w:fill="D9D9D9" w:themeFill="background1" w:themeFillShade="D9"/>
          </w:tcPr>
          <w:p w:rsidR="00E14747" w:rsidRDefault="00E14747" w:rsidP="00E14747">
            <w:r w:rsidRPr="00E14747">
              <w:rPr>
                <w:b/>
              </w:rPr>
              <w:t>General Standard 8:</w:t>
            </w:r>
            <w:r>
              <w:t xml:space="preserve"> Accessibility</w:t>
            </w: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8.1: the course employs accessible technologies and provides guidance on how to obtain accommodation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8.2: Course contains equivalent alternatives to  auditory and visual content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8.3: Course design facilitates readability and minimizes distractions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  <w:tr w:rsidR="00480B6C" w:rsidTr="004618ED">
        <w:tc>
          <w:tcPr>
            <w:tcW w:w="558" w:type="dxa"/>
          </w:tcPr>
          <w:p w:rsidR="00480B6C" w:rsidRDefault="00480B6C"/>
        </w:tc>
        <w:tc>
          <w:tcPr>
            <w:tcW w:w="7830" w:type="dxa"/>
          </w:tcPr>
          <w:p w:rsidR="00480B6C" w:rsidRDefault="00E14747">
            <w:r>
              <w:t>8.4: Course design accommodates the use of assistive technologies</w:t>
            </w:r>
          </w:p>
        </w:tc>
        <w:tc>
          <w:tcPr>
            <w:tcW w:w="1620" w:type="dxa"/>
          </w:tcPr>
          <w:p w:rsidR="00480B6C" w:rsidRDefault="00480B6C" w:rsidP="00313700">
            <w:pPr>
              <w:jc w:val="center"/>
            </w:pPr>
          </w:p>
        </w:tc>
      </w:tr>
    </w:tbl>
    <w:p w:rsidR="00FB2373" w:rsidRDefault="00FB2373"/>
    <w:sectPr w:rsidR="00FB2373" w:rsidSect="00FB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700"/>
    <w:rsid w:val="00313700"/>
    <w:rsid w:val="003E29A4"/>
    <w:rsid w:val="004618ED"/>
    <w:rsid w:val="00480B6C"/>
    <w:rsid w:val="00B5359D"/>
    <w:rsid w:val="00B73473"/>
    <w:rsid w:val="00BD4CC7"/>
    <w:rsid w:val="00DD03EE"/>
    <w:rsid w:val="00E14747"/>
    <w:rsid w:val="00FB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kmeeusen</dc:creator>
  <cp:keywords/>
  <dc:description/>
  <cp:lastModifiedBy>kmeeusen</cp:lastModifiedBy>
  <cp:revision>2</cp:revision>
  <dcterms:created xsi:type="dcterms:W3CDTF">2012-07-17T20:00:00Z</dcterms:created>
  <dcterms:modified xsi:type="dcterms:W3CDTF">2012-07-17T20:00:00Z</dcterms:modified>
</cp:coreProperties>
</file>