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FBA530" w14:textId="270C1611" w:rsidR="004A561A" w:rsidRDefault="00654EDD" w:rsidP="00654EDD">
      <w:pPr>
        <w:jc w:val="center"/>
        <w:rPr>
          <w:b/>
          <w:sz w:val="32"/>
          <w:szCs w:val="32"/>
        </w:rPr>
      </w:pPr>
      <w:r w:rsidRPr="00654EDD">
        <w:rPr>
          <w:b/>
          <w:sz w:val="32"/>
          <w:szCs w:val="32"/>
        </w:rPr>
        <w:t>Co-Teaching Strategies</w:t>
      </w:r>
      <w:r w:rsidR="00F81564">
        <w:rPr>
          <w:b/>
          <w:sz w:val="32"/>
          <w:szCs w:val="32"/>
        </w:rPr>
        <w:t>/Approaches</w:t>
      </w:r>
      <w:r w:rsidRPr="00654EDD">
        <w:rPr>
          <w:b/>
          <w:sz w:val="32"/>
          <w:szCs w:val="32"/>
        </w:rPr>
        <w:t xml:space="preserve"> &amp; Examples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88"/>
        <w:gridCol w:w="12302"/>
      </w:tblGrid>
      <w:tr w:rsidR="00654EDD" w:rsidRPr="00D71425" w14:paraId="6EFBA533" w14:textId="77777777" w:rsidTr="00D71425">
        <w:tc>
          <w:tcPr>
            <w:tcW w:w="2088" w:type="dxa"/>
          </w:tcPr>
          <w:p w14:paraId="6EFBA531" w14:textId="77777777" w:rsidR="00654EDD" w:rsidRPr="00D71425" w:rsidRDefault="00654EDD" w:rsidP="00D71425">
            <w:pPr>
              <w:spacing w:after="0" w:line="240" w:lineRule="auto"/>
              <w:jc w:val="center"/>
              <w:rPr>
                <w:b/>
                <w:sz w:val="32"/>
                <w:szCs w:val="32"/>
              </w:rPr>
            </w:pPr>
            <w:r w:rsidRPr="00D71425">
              <w:rPr>
                <w:b/>
                <w:sz w:val="32"/>
                <w:szCs w:val="32"/>
              </w:rPr>
              <w:t>Strategy</w:t>
            </w:r>
          </w:p>
        </w:tc>
        <w:tc>
          <w:tcPr>
            <w:tcW w:w="12528" w:type="dxa"/>
          </w:tcPr>
          <w:p w14:paraId="6EFBA532" w14:textId="77777777" w:rsidR="00654EDD" w:rsidRPr="00D71425" w:rsidRDefault="00654EDD" w:rsidP="00D71425">
            <w:pPr>
              <w:spacing w:after="0" w:line="240" w:lineRule="auto"/>
              <w:jc w:val="center"/>
              <w:rPr>
                <w:b/>
                <w:sz w:val="32"/>
                <w:szCs w:val="32"/>
              </w:rPr>
            </w:pPr>
            <w:r w:rsidRPr="00D71425">
              <w:rPr>
                <w:b/>
                <w:sz w:val="32"/>
                <w:szCs w:val="32"/>
              </w:rPr>
              <w:t>Definition/Example</w:t>
            </w:r>
          </w:p>
        </w:tc>
      </w:tr>
      <w:tr w:rsidR="00654EDD" w:rsidRPr="00D71425" w14:paraId="6EFBA537" w14:textId="77777777" w:rsidTr="00D71425">
        <w:tc>
          <w:tcPr>
            <w:tcW w:w="2088" w:type="dxa"/>
          </w:tcPr>
          <w:p w14:paraId="6EFBA534" w14:textId="77777777" w:rsidR="00654EDD" w:rsidRPr="00D71425" w:rsidRDefault="00654EDD" w:rsidP="00D71425">
            <w:pPr>
              <w:spacing w:after="0" w:line="240" w:lineRule="auto"/>
              <w:rPr>
                <w:b/>
              </w:rPr>
            </w:pPr>
            <w:r w:rsidRPr="00D71425">
              <w:rPr>
                <w:b/>
              </w:rPr>
              <w:t>One Teach, One Observe</w:t>
            </w:r>
          </w:p>
        </w:tc>
        <w:tc>
          <w:tcPr>
            <w:tcW w:w="12528" w:type="dxa"/>
          </w:tcPr>
          <w:p w14:paraId="6EFBA535" w14:textId="77777777" w:rsidR="00654EDD" w:rsidRPr="00D71425" w:rsidRDefault="00654EDD" w:rsidP="00D71425">
            <w:pPr>
              <w:spacing w:after="0" w:line="240" w:lineRule="auto"/>
              <w:rPr>
                <w:sz w:val="20"/>
                <w:szCs w:val="20"/>
              </w:rPr>
            </w:pPr>
            <w:r w:rsidRPr="00D71425">
              <w:rPr>
                <w:sz w:val="20"/>
                <w:szCs w:val="20"/>
              </w:rPr>
              <w:t>One teacher has primary responsibility while the other gathers specific observational information on students or the (instructing) teacher.  The key to this strategy is to focus the observation – where the teacher doing the observation is observing specific behaviors.</w:t>
            </w:r>
          </w:p>
          <w:p w14:paraId="6EFBA536" w14:textId="77777777" w:rsidR="00654EDD" w:rsidRPr="00D71425" w:rsidRDefault="00654EDD" w:rsidP="00D71425">
            <w:pPr>
              <w:spacing w:after="0" w:line="240" w:lineRule="auto"/>
              <w:rPr>
                <w:sz w:val="20"/>
                <w:szCs w:val="20"/>
              </w:rPr>
            </w:pPr>
            <w:r w:rsidRPr="00D71425">
              <w:rPr>
                <w:b/>
                <w:sz w:val="20"/>
                <w:szCs w:val="20"/>
                <w:u w:val="single"/>
              </w:rPr>
              <w:t>Example:</w:t>
            </w:r>
            <w:r w:rsidRPr="00D71425">
              <w:rPr>
                <w:sz w:val="20"/>
                <w:szCs w:val="20"/>
              </w:rPr>
              <w:t xml:space="preserve"> One teacher can observe students for their understanding of directions while the other leads.</w:t>
            </w:r>
          </w:p>
        </w:tc>
      </w:tr>
      <w:tr w:rsidR="00654EDD" w:rsidRPr="00D71425" w14:paraId="6EFBA53B" w14:textId="77777777" w:rsidTr="00D71425">
        <w:tc>
          <w:tcPr>
            <w:tcW w:w="2088" w:type="dxa"/>
          </w:tcPr>
          <w:p w14:paraId="6EFBA538" w14:textId="77777777" w:rsidR="00654EDD" w:rsidRPr="00D71425" w:rsidRDefault="00916F5A" w:rsidP="00D71425">
            <w:pPr>
              <w:spacing w:after="0" w:line="240" w:lineRule="auto"/>
              <w:rPr>
                <w:b/>
              </w:rPr>
            </w:pPr>
            <w:r w:rsidRPr="00D71425">
              <w:rPr>
                <w:b/>
              </w:rPr>
              <w:t>One Teach, One Assist</w:t>
            </w:r>
          </w:p>
        </w:tc>
        <w:tc>
          <w:tcPr>
            <w:tcW w:w="12528" w:type="dxa"/>
          </w:tcPr>
          <w:p w14:paraId="6EFBA539" w14:textId="77777777" w:rsidR="00916F5A" w:rsidRPr="00D71425" w:rsidRDefault="00916F5A" w:rsidP="00D71425">
            <w:pPr>
              <w:spacing w:after="0" w:line="240" w:lineRule="auto"/>
              <w:rPr>
                <w:sz w:val="20"/>
                <w:szCs w:val="20"/>
              </w:rPr>
            </w:pPr>
            <w:r w:rsidRPr="00D71425">
              <w:rPr>
                <w:sz w:val="20"/>
                <w:szCs w:val="20"/>
              </w:rPr>
              <w:t>An extension of One Teach, One Observe.  One teacher has primary instructional responsibility while the other assists students with their work, monitors behaviors, or corrects assignments.</w:t>
            </w:r>
          </w:p>
          <w:p w14:paraId="6EFBA53A" w14:textId="77777777" w:rsidR="00654EDD" w:rsidRPr="00D71425" w:rsidRDefault="00916F5A" w:rsidP="00D71425">
            <w:pPr>
              <w:spacing w:after="0" w:line="240" w:lineRule="auto"/>
              <w:rPr>
                <w:sz w:val="20"/>
                <w:szCs w:val="20"/>
              </w:rPr>
            </w:pPr>
            <w:r w:rsidRPr="00D71425">
              <w:rPr>
                <w:b/>
                <w:i/>
                <w:sz w:val="20"/>
                <w:szCs w:val="20"/>
                <w:u w:val="single"/>
              </w:rPr>
              <w:t>Example</w:t>
            </w:r>
            <w:r w:rsidRPr="00D71425">
              <w:rPr>
                <w:sz w:val="20"/>
                <w:szCs w:val="20"/>
                <w:u w:val="single"/>
              </w:rPr>
              <w:t>:</w:t>
            </w:r>
            <w:r w:rsidRPr="00D71425">
              <w:rPr>
                <w:sz w:val="20"/>
                <w:szCs w:val="20"/>
              </w:rPr>
              <w:t xml:space="preserve"> While one teacher has the instructional lead, the person assisting can be the “voice” for the students when they don’t understand or are having difficulties.</w:t>
            </w:r>
          </w:p>
        </w:tc>
      </w:tr>
      <w:tr w:rsidR="00654EDD" w:rsidRPr="00D71425" w14:paraId="6EFBA53F" w14:textId="77777777" w:rsidTr="00D71425">
        <w:tc>
          <w:tcPr>
            <w:tcW w:w="2088" w:type="dxa"/>
          </w:tcPr>
          <w:p w14:paraId="6EFBA53C" w14:textId="77777777" w:rsidR="00654EDD" w:rsidRPr="00D71425" w:rsidRDefault="00916F5A" w:rsidP="00D71425">
            <w:pPr>
              <w:spacing w:after="0" w:line="240" w:lineRule="auto"/>
              <w:rPr>
                <w:b/>
              </w:rPr>
            </w:pPr>
            <w:r w:rsidRPr="00D71425">
              <w:rPr>
                <w:b/>
              </w:rPr>
              <w:t>Station Teaching</w:t>
            </w:r>
          </w:p>
        </w:tc>
        <w:tc>
          <w:tcPr>
            <w:tcW w:w="12528" w:type="dxa"/>
          </w:tcPr>
          <w:p w14:paraId="6EFBA53D" w14:textId="77777777" w:rsidR="00916F5A" w:rsidRPr="00D71425" w:rsidRDefault="00916F5A" w:rsidP="00D71425">
            <w:pPr>
              <w:spacing w:after="0" w:line="240" w:lineRule="auto"/>
              <w:rPr>
                <w:sz w:val="20"/>
                <w:szCs w:val="20"/>
              </w:rPr>
            </w:pPr>
            <w:r w:rsidRPr="00D71425">
              <w:rPr>
                <w:sz w:val="20"/>
                <w:szCs w:val="20"/>
              </w:rPr>
              <w:t>The co-teaching pair divides the instructional content into parts – Each teacher instructs one of the groups, groups then rotate or spend a designated amount of time at each station – often an independent station will be used along with the teacher led stations.</w:t>
            </w:r>
          </w:p>
          <w:p w14:paraId="6EFBA53E" w14:textId="77777777" w:rsidR="00654EDD" w:rsidRPr="00D71425" w:rsidRDefault="0058581F" w:rsidP="00D71425">
            <w:pPr>
              <w:spacing w:after="0" w:line="240" w:lineRule="auto"/>
              <w:rPr>
                <w:sz w:val="20"/>
                <w:szCs w:val="20"/>
              </w:rPr>
            </w:pPr>
            <w:r w:rsidRPr="00D71425">
              <w:rPr>
                <w:b/>
                <w:i/>
                <w:sz w:val="20"/>
                <w:szCs w:val="20"/>
                <w:u w:val="single"/>
              </w:rPr>
              <w:t>Example:</w:t>
            </w:r>
            <w:r w:rsidRPr="00D71425">
              <w:rPr>
                <w:sz w:val="20"/>
                <w:szCs w:val="20"/>
              </w:rPr>
              <w:t xml:space="preserve"> One teacher might lead a station where the students play a money math game and the other teacher could have a mock store where the students purchase items and make change.</w:t>
            </w:r>
          </w:p>
        </w:tc>
      </w:tr>
      <w:tr w:rsidR="00654EDD" w:rsidRPr="00D71425" w14:paraId="6EFBA543" w14:textId="77777777" w:rsidTr="00D71425">
        <w:tc>
          <w:tcPr>
            <w:tcW w:w="2088" w:type="dxa"/>
          </w:tcPr>
          <w:p w14:paraId="6EFBA540" w14:textId="77777777" w:rsidR="00654EDD" w:rsidRPr="00D71425" w:rsidRDefault="0058581F" w:rsidP="00D71425">
            <w:pPr>
              <w:spacing w:after="0" w:line="240" w:lineRule="auto"/>
              <w:rPr>
                <w:b/>
              </w:rPr>
            </w:pPr>
            <w:r w:rsidRPr="00D71425">
              <w:rPr>
                <w:b/>
              </w:rPr>
              <w:t>Parallel Teaching</w:t>
            </w:r>
          </w:p>
        </w:tc>
        <w:tc>
          <w:tcPr>
            <w:tcW w:w="12528" w:type="dxa"/>
          </w:tcPr>
          <w:p w14:paraId="6EFBA541" w14:textId="77777777" w:rsidR="00654EDD" w:rsidRPr="00D71425" w:rsidRDefault="0058581F" w:rsidP="00D71425">
            <w:pPr>
              <w:spacing w:after="0" w:line="240" w:lineRule="auto"/>
              <w:rPr>
                <w:sz w:val="20"/>
                <w:szCs w:val="20"/>
              </w:rPr>
            </w:pPr>
            <w:r w:rsidRPr="00D71425">
              <w:rPr>
                <w:sz w:val="20"/>
                <w:szCs w:val="20"/>
              </w:rPr>
              <w:t>Each teacher instructs half the students.  The two teachers are addressing the same instructional material and presenting the material using the same teaching strategy.  The greatest benefit to this approach is the reduction of student to teacher ratio.</w:t>
            </w:r>
          </w:p>
          <w:p w14:paraId="6EFBA542" w14:textId="77777777" w:rsidR="005C2D70" w:rsidRPr="00D71425" w:rsidRDefault="005C2D70" w:rsidP="00D71425">
            <w:pPr>
              <w:spacing w:after="0" w:line="240" w:lineRule="auto"/>
              <w:rPr>
                <w:b/>
                <w:sz w:val="20"/>
                <w:szCs w:val="20"/>
              </w:rPr>
            </w:pPr>
            <w:r w:rsidRPr="00D71425">
              <w:rPr>
                <w:b/>
                <w:i/>
                <w:sz w:val="20"/>
                <w:szCs w:val="20"/>
                <w:u w:val="single"/>
              </w:rPr>
              <w:t>Example</w:t>
            </w:r>
            <w:r w:rsidRPr="00D71425">
              <w:rPr>
                <w:sz w:val="20"/>
                <w:szCs w:val="20"/>
              </w:rPr>
              <w:t xml:space="preserve">: Both teachers are leading a </w:t>
            </w:r>
            <w:r w:rsidR="001D7F26" w:rsidRPr="00D71425">
              <w:rPr>
                <w:sz w:val="20"/>
                <w:szCs w:val="20"/>
              </w:rPr>
              <w:t xml:space="preserve">question and answer </w:t>
            </w:r>
            <w:r w:rsidRPr="00D71425">
              <w:rPr>
                <w:sz w:val="20"/>
                <w:szCs w:val="20"/>
              </w:rPr>
              <w:t>discussion</w:t>
            </w:r>
            <w:r w:rsidR="001D7F26" w:rsidRPr="00D71425">
              <w:rPr>
                <w:sz w:val="20"/>
                <w:szCs w:val="20"/>
              </w:rPr>
              <w:t xml:space="preserve"> on specific current events and the impact they have on our economy.</w:t>
            </w:r>
          </w:p>
        </w:tc>
      </w:tr>
      <w:tr w:rsidR="000C0415" w:rsidRPr="00D71425" w14:paraId="6EFBA547" w14:textId="77777777" w:rsidTr="00D71425">
        <w:tc>
          <w:tcPr>
            <w:tcW w:w="2088" w:type="dxa"/>
          </w:tcPr>
          <w:p w14:paraId="6EFBA544" w14:textId="77777777" w:rsidR="000C0415" w:rsidRPr="00D71425" w:rsidRDefault="000C0415" w:rsidP="00D71425">
            <w:pPr>
              <w:spacing w:after="0" w:line="240" w:lineRule="auto"/>
              <w:rPr>
                <w:b/>
              </w:rPr>
            </w:pPr>
            <w:r w:rsidRPr="00D71425">
              <w:rPr>
                <w:b/>
              </w:rPr>
              <w:t>Supplemental Teaching</w:t>
            </w:r>
          </w:p>
        </w:tc>
        <w:tc>
          <w:tcPr>
            <w:tcW w:w="12528" w:type="dxa"/>
          </w:tcPr>
          <w:p w14:paraId="6EFBA545" w14:textId="77777777" w:rsidR="000C0415" w:rsidRPr="00D71425" w:rsidRDefault="000C0415" w:rsidP="00D71425">
            <w:pPr>
              <w:spacing w:after="0" w:line="240" w:lineRule="auto"/>
              <w:rPr>
                <w:sz w:val="20"/>
                <w:szCs w:val="20"/>
              </w:rPr>
            </w:pPr>
            <w:r w:rsidRPr="00D71425">
              <w:rPr>
                <w:sz w:val="20"/>
                <w:szCs w:val="20"/>
              </w:rPr>
              <w:t>This strategy allows one teacher to work with students at their expected grade level, while the other teacher works with those students who need the information and/or materials retaught, extended or remediated.</w:t>
            </w:r>
          </w:p>
          <w:p w14:paraId="6EFBA546" w14:textId="77777777" w:rsidR="000C0415" w:rsidRPr="00D71425" w:rsidRDefault="000C0415" w:rsidP="00D71425">
            <w:pPr>
              <w:spacing w:after="0" w:line="240" w:lineRule="auto"/>
              <w:rPr>
                <w:sz w:val="20"/>
                <w:szCs w:val="20"/>
              </w:rPr>
            </w:pPr>
            <w:r w:rsidRPr="00D71425">
              <w:rPr>
                <w:b/>
                <w:i/>
                <w:sz w:val="20"/>
                <w:szCs w:val="20"/>
                <w:u w:val="single"/>
              </w:rPr>
              <w:t>Example</w:t>
            </w:r>
            <w:r w:rsidRPr="00D71425">
              <w:rPr>
                <w:sz w:val="20"/>
                <w:szCs w:val="20"/>
                <w:u w:val="single"/>
              </w:rPr>
              <w:t>:</w:t>
            </w:r>
            <w:r w:rsidRPr="00D71425">
              <w:rPr>
                <w:sz w:val="20"/>
                <w:szCs w:val="20"/>
              </w:rPr>
              <w:t xml:space="preserve"> One teacher may work with students who need </w:t>
            </w:r>
            <w:proofErr w:type="spellStart"/>
            <w:r w:rsidRPr="00D71425">
              <w:rPr>
                <w:sz w:val="20"/>
                <w:szCs w:val="20"/>
              </w:rPr>
              <w:t>reteaching</w:t>
            </w:r>
            <w:proofErr w:type="spellEnd"/>
            <w:r w:rsidRPr="00D71425">
              <w:rPr>
                <w:sz w:val="20"/>
                <w:szCs w:val="20"/>
              </w:rPr>
              <w:t xml:space="preserve"> of a concept while the other teacher works with the rest of the students on enrichment.  </w:t>
            </w:r>
          </w:p>
        </w:tc>
      </w:tr>
      <w:tr w:rsidR="006F12A0" w:rsidRPr="00D71425" w14:paraId="6EFBA54B" w14:textId="77777777" w:rsidTr="00D71425">
        <w:tc>
          <w:tcPr>
            <w:tcW w:w="2088" w:type="dxa"/>
          </w:tcPr>
          <w:p w14:paraId="6EFBA548" w14:textId="77777777" w:rsidR="006F12A0" w:rsidRPr="00D71425" w:rsidRDefault="006F12A0" w:rsidP="00D71425">
            <w:pPr>
              <w:spacing w:after="0" w:line="240" w:lineRule="auto"/>
              <w:rPr>
                <w:b/>
              </w:rPr>
            </w:pPr>
            <w:r w:rsidRPr="00D71425">
              <w:rPr>
                <w:b/>
                <w:bCs/>
                <w:iCs/>
              </w:rPr>
              <w:t>Alternative (Differentiated)</w:t>
            </w:r>
            <w:r w:rsidRPr="00D71425">
              <w:rPr>
                <w:b/>
                <w:bCs/>
                <w:i/>
                <w:iCs/>
              </w:rPr>
              <w:t xml:space="preserve">  </w:t>
            </w:r>
          </w:p>
        </w:tc>
        <w:tc>
          <w:tcPr>
            <w:tcW w:w="12528" w:type="dxa"/>
          </w:tcPr>
          <w:p w14:paraId="6EFBA549" w14:textId="77777777" w:rsidR="006F12A0" w:rsidRPr="00D71425" w:rsidRDefault="006F12A0" w:rsidP="00D71425">
            <w:pPr>
              <w:spacing w:after="0" w:line="240" w:lineRule="auto"/>
              <w:rPr>
                <w:bCs/>
                <w:iCs/>
                <w:sz w:val="20"/>
                <w:szCs w:val="20"/>
              </w:rPr>
            </w:pPr>
            <w:r w:rsidRPr="00D71425">
              <w:rPr>
                <w:bCs/>
                <w:iCs/>
                <w:sz w:val="20"/>
                <w:szCs w:val="20"/>
              </w:rPr>
              <w:t>Alternative teaching strategies provide two different approaches to teaching the same information.  The learning outcome is the same for all students however the avenue for getting there is different.</w:t>
            </w:r>
          </w:p>
          <w:p w14:paraId="6EFBA54A" w14:textId="77777777" w:rsidR="006F12A0" w:rsidRPr="00D71425" w:rsidRDefault="006F12A0" w:rsidP="00D71425">
            <w:pPr>
              <w:spacing w:after="0" w:line="240" w:lineRule="auto"/>
              <w:rPr>
                <w:sz w:val="20"/>
                <w:szCs w:val="20"/>
              </w:rPr>
            </w:pPr>
            <w:r w:rsidRPr="00D71425">
              <w:rPr>
                <w:b/>
                <w:i/>
                <w:sz w:val="20"/>
                <w:szCs w:val="20"/>
                <w:u w:val="single"/>
              </w:rPr>
              <w:t>Example</w:t>
            </w:r>
            <w:r w:rsidRPr="00D71425">
              <w:rPr>
                <w:sz w:val="20"/>
                <w:szCs w:val="20"/>
                <w:u w:val="single"/>
              </w:rPr>
              <w:t>:</w:t>
            </w:r>
            <w:r w:rsidRPr="00D71425">
              <w:rPr>
                <w:sz w:val="20"/>
                <w:szCs w:val="20"/>
              </w:rPr>
              <w:t xml:space="preserve"> One instructor may lead a group in predicting prior to reading by looking at the cover of the book and the illustrations, etc.  The other instructor accomplishes the same outcome but with his/her group, the students predict by connecting the items pulled out of the bag with the story.  </w:t>
            </w:r>
          </w:p>
        </w:tc>
      </w:tr>
      <w:tr w:rsidR="006F12A0" w:rsidRPr="00D71425" w14:paraId="6EFBA54F" w14:textId="77777777" w:rsidTr="00D71425">
        <w:tc>
          <w:tcPr>
            <w:tcW w:w="2088" w:type="dxa"/>
          </w:tcPr>
          <w:p w14:paraId="6EFBA54C" w14:textId="77777777" w:rsidR="006F12A0" w:rsidRPr="00D71425" w:rsidRDefault="006F12A0" w:rsidP="00D71425">
            <w:pPr>
              <w:spacing w:after="0" w:line="240" w:lineRule="auto"/>
              <w:rPr>
                <w:b/>
                <w:bCs/>
                <w:iCs/>
              </w:rPr>
            </w:pPr>
            <w:r w:rsidRPr="00D71425">
              <w:rPr>
                <w:b/>
                <w:bCs/>
              </w:rPr>
              <w:t>Team Teaching</w:t>
            </w:r>
          </w:p>
        </w:tc>
        <w:tc>
          <w:tcPr>
            <w:tcW w:w="12528" w:type="dxa"/>
          </w:tcPr>
          <w:p w14:paraId="6EFBA54D" w14:textId="77777777" w:rsidR="006F12A0" w:rsidRPr="00D71425" w:rsidRDefault="006F12A0" w:rsidP="00D71425">
            <w:pPr>
              <w:spacing w:after="0" w:line="240" w:lineRule="auto"/>
              <w:rPr>
                <w:bCs/>
                <w:sz w:val="20"/>
                <w:szCs w:val="20"/>
              </w:rPr>
            </w:pPr>
            <w:r w:rsidRPr="00D71425">
              <w:rPr>
                <w:bCs/>
                <w:sz w:val="20"/>
                <w:szCs w:val="20"/>
              </w:rPr>
              <w:t>Well planned, team taught lessons, exhibit an invisible flow of instruction with no prescribed division of authority.  Using a team teaching strategy, both teachers are actively involved in the lesson.  From a students’ perspective, there is no clearly defined leader – as both teachers share the instruction, are free to interject information, and available to assist students and answer questions.</w:t>
            </w:r>
          </w:p>
          <w:p w14:paraId="6EFBA54E" w14:textId="77777777" w:rsidR="00EE66DF" w:rsidRPr="00D71425" w:rsidRDefault="00EE66DF" w:rsidP="00D71425">
            <w:pPr>
              <w:spacing w:after="0" w:line="240" w:lineRule="auto"/>
            </w:pPr>
            <w:r w:rsidRPr="00D71425">
              <w:rPr>
                <w:b/>
                <w:i/>
                <w:sz w:val="20"/>
                <w:szCs w:val="20"/>
                <w:u w:val="single"/>
              </w:rPr>
              <w:t>Example:</w:t>
            </w:r>
            <w:r w:rsidRPr="00D71425">
              <w:rPr>
                <w:sz w:val="20"/>
                <w:szCs w:val="20"/>
              </w:rPr>
              <w:t xml:space="preserve"> Both instructors can share the reading of a story or text so that the students are hearing two voices</w:t>
            </w:r>
            <w:r w:rsidRPr="00D71425">
              <w:t>.</w:t>
            </w:r>
          </w:p>
        </w:tc>
      </w:tr>
    </w:tbl>
    <w:p w14:paraId="6EFBA550" w14:textId="77777777" w:rsidR="00EE66DF" w:rsidRPr="00936EE8" w:rsidRDefault="00936EE8" w:rsidP="005F7866">
      <w:pPr>
        <w:spacing w:before="240"/>
        <w:ind w:right="306"/>
        <w:jc w:val="center"/>
        <w:rPr>
          <w:b/>
          <w:i/>
          <w:sz w:val="20"/>
          <w:szCs w:val="20"/>
        </w:rPr>
      </w:pPr>
      <w:r w:rsidRPr="00936EE8">
        <w:rPr>
          <w:b/>
          <w:i/>
          <w:sz w:val="20"/>
          <w:szCs w:val="20"/>
        </w:rPr>
        <w:t xml:space="preserve">The strategies are not hierarchical – they can be used in any order </w:t>
      </w:r>
      <w:bookmarkStart w:id="0" w:name="_GoBack"/>
      <w:bookmarkEnd w:id="0"/>
      <w:r w:rsidRPr="00936EE8">
        <w:rPr>
          <w:b/>
          <w:i/>
          <w:sz w:val="20"/>
          <w:szCs w:val="20"/>
        </w:rPr>
        <w:t>and/or combined to best meet the needs of the students in the classroom.</w:t>
      </w:r>
    </w:p>
    <w:sectPr w:rsidR="00EE66DF" w:rsidRPr="00936EE8" w:rsidSect="005F7866">
      <w:footerReference w:type="default" r:id="rId6"/>
      <w:pgSz w:w="15840" w:h="12240" w:orient="landscape" w:code="1"/>
      <w:pgMar w:top="576" w:right="720" w:bottom="576" w:left="720" w:header="72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FBA553" w14:textId="77777777" w:rsidR="00DD0A70" w:rsidRDefault="00DD0A70" w:rsidP="00936EE8">
      <w:pPr>
        <w:spacing w:after="0" w:line="240" w:lineRule="auto"/>
      </w:pPr>
      <w:r>
        <w:separator/>
      </w:r>
    </w:p>
  </w:endnote>
  <w:endnote w:type="continuationSeparator" w:id="0">
    <w:p w14:paraId="6EFBA554" w14:textId="77777777" w:rsidR="00DD0A70" w:rsidRDefault="00DD0A70" w:rsidP="00936E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FBA558" w14:textId="3500DC18" w:rsidR="00F16661" w:rsidRPr="00F16661" w:rsidRDefault="00F16661" w:rsidP="00F16661">
    <w:pPr>
      <w:spacing w:after="0" w:line="240" w:lineRule="auto"/>
      <w:jc w:val="right"/>
      <w:rPr>
        <w:rFonts w:eastAsiaTheme="minorHAnsi" w:cstheme="minorBidi"/>
        <w:sz w:val="16"/>
        <w:szCs w:val="16"/>
      </w:rPr>
    </w:pPr>
    <w:r w:rsidRPr="00F16661">
      <w:rPr>
        <w:rFonts w:eastAsiaTheme="minorHAnsi" w:cstheme="minorBidi"/>
        <w:sz w:val="16"/>
        <w:szCs w:val="16"/>
      </w:rPr>
      <w:t>Copyright 201</w:t>
    </w:r>
    <w:r w:rsidR="00F81564">
      <w:rPr>
        <w:rFonts w:eastAsiaTheme="minorHAnsi" w:cstheme="minorBidi"/>
        <w:sz w:val="16"/>
        <w:szCs w:val="16"/>
      </w:rPr>
      <w:t>9</w:t>
    </w:r>
    <w:r w:rsidRPr="00F16661">
      <w:rPr>
        <w:rFonts w:eastAsiaTheme="minorHAnsi" w:cstheme="minorBidi"/>
        <w:sz w:val="16"/>
        <w:szCs w:val="16"/>
      </w:rPr>
      <w:t>,</w:t>
    </w:r>
    <w:r w:rsidR="00AC6879">
      <w:rPr>
        <w:rFonts w:eastAsiaTheme="minorHAnsi" w:cstheme="minorBidi"/>
        <w:sz w:val="16"/>
        <w:szCs w:val="16"/>
      </w:rPr>
      <w:t xml:space="preserve"> TWH Consulting &amp;</w:t>
    </w:r>
    <w:r w:rsidRPr="00F16661">
      <w:rPr>
        <w:rFonts w:eastAsiaTheme="minorHAnsi" w:cstheme="minorBidi"/>
        <w:sz w:val="16"/>
        <w:szCs w:val="16"/>
      </w:rPr>
      <w:t xml:space="preserve"> </w:t>
    </w:r>
    <w:r w:rsidRPr="00F16661">
      <w:rPr>
        <w:rFonts w:eastAsiaTheme="minorHAnsi" w:cstheme="minorBidi"/>
        <w:b/>
        <w:i/>
        <w:sz w:val="16"/>
        <w:szCs w:val="16"/>
      </w:rPr>
      <w:t>The Academy for Co-Teaching and Collaboration</w:t>
    </w:r>
    <w:r w:rsidRPr="00F16661">
      <w:rPr>
        <w:rFonts w:eastAsiaTheme="minorHAnsi" w:cstheme="minorBidi"/>
        <w:sz w:val="16"/>
        <w:szCs w:val="16"/>
      </w:rPr>
      <w:t xml:space="preserve"> at St. Cloud State University</w:t>
    </w:r>
  </w:p>
  <w:p w14:paraId="6EFBA559" w14:textId="77777777" w:rsidR="00F16661" w:rsidRPr="00F16661" w:rsidRDefault="00F16661" w:rsidP="00F16661">
    <w:pPr>
      <w:spacing w:after="0" w:line="240" w:lineRule="auto"/>
      <w:jc w:val="right"/>
      <w:rPr>
        <w:rFonts w:eastAsiaTheme="minorHAnsi" w:cstheme="minorBidi"/>
        <w:sz w:val="20"/>
        <w:szCs w:val="20"/>
      </w:rPr>
    </w:pPr>
    <w:r w:rsidRPr="00F16661">
      <w:rPr>
        <w:rFonts w:eastAsiaTheme="minorHAnsi" w:cstheme="minorBidi"/>
        <w:sz w:val="16"/>
        <w:szCs w:val="16"/>
      </w:rPr>
      <w:t>Original Research Funded by a US Department of Education, Teacher Quality Enhancement Partnership Grant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FBA551" w14:textId="77777777" w:rsidR="00DD0A70" w:rsidRDefault="00DD0A70" w:rsidP="00936EE8">
      <w:pPr>
        <w:spacing w:after="0" w:line="240" w:lineRule="auto"/>
      </w:pPr>
      <w:r>
        <w:separator/>
      </w:r>
    </w:p>
  </w:footnote>
  <w:footnote w:type="continuationSeparator" w:id="0">
    <w:p w14:paraId="6EFBA552" w14:textId="77777777" w:rsidR="00DD0A70" w:rsidRDefault="00DD0A70" w:rsidP="00936EE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4EDD"/>
    <w:rsid w:val="000B36C5"/>
    <w:rsid w:val="000C0415"/>
    <w:rsid w:val="000F73E0"/>
    <w:rsid w:val="00140961"/>
    <w:rsid w:val="001A6A82"/>
    <w:rsid w:val="001D7F26"/>
    <w:rsid w:val="001F0FF9"/>
    <w:rsid w:val="00283BA6"/>
    <w:rsid w:val="002F696C"/>
    <w:rsid w:val="003178E0"/>
    <w:rsid w:val="00360E98"/>
    <w:rsid w:val="00391D93"/>
    <w:rsid w:val="004A561A"/>
    <w:rsid w:val="005242F3"/>
    <w:rsid w:val="0058581F"/>
    <w:rsid w:val="005A4AB4"/>
    <w:rsid w:val="005C2D70"/>
    <w:rsid w:val="005F7866"/>
    <w:rsid w:val="00654EDD"/>
    <w:rsid w:val="006756B7"/>
    <w:rsid w:val="00676408"/>
    <w:rsid w:val="006F12A0"/>
    <w:rsid w:val="0072336D"/>
    <w:rsid w:val="007338D1"/>
    <w:rsid w:val="007810AF"/>
    <w:rsid w:val="008576AA"/>
    <w:rsid w:val="008827D2"/>
    <w:rsid w:val="00916F5A"/>
    <w:rsid w:val="00917CBC"/>
    <w:rsid w:val="00936EE8"/>
    <w:rsid w:val="00AC6879"/>
    <w:rsid w:val="00BE0B84"/>
    <w:rsid w:val="00BE3691"/>
    <w:rsid w:val="00CA5274"/>
    <w:rsid w:val="00D7093D"/>
    <w:rsid w:val="00D71425"/>
    <w:rsid w:val="00D900B9"/>
    <w:rsid w:val="00DD0A70"/>
    <w:rsid w:val="00E12624"/>
    <w:rsid w:val="00EE66DF"/>
    <w:rsid w:val="00F16661"/>
    <w:rsid w:val="00F815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EFBA530"/>
  <w15:docId w15:val="{9C15EF4E-0B9D-4C8A-8ED1-7AB2A80BC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mic Sans MS" w:eastAsia="Calibri" w:hAnsi="Comic Sans MS"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561A"/>
    <w:pPr>
      <w:spacing w:after="200" w:line="276"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54ED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936E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6EE8"/>
  </w:style>
  <w:style w:type="paragraph" w:styleId="Footer">
    <w:name w:val="footer"/>
    <w:basedOn w:val="Normal"/>
    <w:link w:val="FooterChar"/>
    <w:uiPriority w:val="99"/>
    <w:unhideWhenUsed/>
    <w:rsid w:val="00936E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6EE8"/>
  </w:style>
  <w:style w:type="paragraph" w:styleId="BalloonText">
    <w:name w:val="Balloon Text"/>
    <w:basedOn w:val="Normal"/>
    <w:link w:val="BalloonTextChar"/>
    <w:uiPriority w:val="99"/>
    <w:semiHidden/>
    <w:unhideWhenUsed/>
    <w:rsid w:val="00936E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6EE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6238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493</Words>
  <Characters>2814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St. Cloud State University</Company>
  <LinksUpToDate>false</LinksUpToDate>
  <CharactersWithSpaces>3301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twheck</dc:creator>
  <cp:keywords/>
  <dc:description/>
  <cp:lastModifiedBy>Heck, Teresa W.</cp:lastModifiedBy>
  <cp:revision>5</cp:revision>
  <cp:lastPrinted>2009-03-13T15:11:00Z</cp:lastPrinted>
  <dcterms:created xsi:type="dcterms:W3CDTF">2016-01-31T14:07:00Z</dcterms:created>
  <dcterms:modified xsi:type="dcterms:W3CDTF">2019-02-05T21:19:00Z</dcterms:modified>
</cp:coreProperties>
</file>