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09D2" w14:textId="77777777" w:rsidR="00D902A3" w:rsidRPr="00F92330" w:rsidRDefault="00D902A3" w:rsidP="00D902A3">
      <w:pPr>
        <w:jc w:val="center"/>
        <w:rPr>
          <w:rFonts w:cstheme="minorHAnsi"/>
          <w:b/>
          <w:bCs/>
          <w:sz w:val="24"/>
          <w:szCs w:val="24"/>
        </w:rPr>
      </w:pPr>
    </w:p>
    <w:p w14:paraId="7A66EFA8" w14:textId="77777777" w:rsidR="00D902A3" w:rsidRPr="00F92330" w:rsidRDefault="00D902A3" w:rsidP="00D902A3">
      <w:pPr>
        <w:jc w:val="center"/>
        <w:rPr>
          <w:rFonts w:cstheme="minorHAnsi"/>
          <w:b/>
          <w:bCs/>
          <w:sz w:val="24"/>
          <w:szCs w:val="24"/>
        </w:rPr>
      </w:pPr>
    </w:p>
    <w:p w14:paraId="3EFD20FE" w14:textId="77777777" w:rsidR="006A10FD" w:rsidRDefault="006A10FD" w:rsidP="00442546">
      <w:pPr>
        <w:rPr>
          <w:rFonts w:cstheme="minorHAnsi"/>
          <w:b/>
          <w:bCs/>
          <w:sz w:val="24"/>
          <w:szCs w:val="24"/>
        </w:rPr>
        <w:sectPr w:rsidR="006A10FD" w:rsidSect="000E1340">
          <w:headerReference w:type="default" r:id="rId8"/>
          <w:footerReference w:type="default" r:id="rId9"/>
          <w:type w:val="continuous"/>
          <w:pgSz w:w="12240" w:h="15840"/>
          <w:pgMar w:top="1440" w:right="1440" w:bottom="1440" w:left="1440" w:header="720" w:footer="720" w:gutter="0"/>
          <w:cols w:num="2" w:space="720" w:equalWidth="0">
            <w:col w:w="2880" w:space="720"/>
            <w:col w:w="5760"/>
          </w:cols>
          <w:titlePg/>
          <w:docGrid w:linePitch="360"/>
        </w:sectPr>
      </w:pPr>
    </w:p>
    <w:p w14:paraId="429C47A4" w14:textId="637EC25A" w:rsidR="006A10FD" w:rsidRDefault="006A10FD" w:rsidP="00442546">
      <w:pPr>
        <w:rPr>
          <w:rFonts w:cstheme="minorHAnsi"/>
          <w:b/>
          <w:bCs/>
          <w:sz w:val="72"/>
          <w:szCs w:val="72"/>
        </w:rPr>
      </w:pPr>
    </w:p>
    <w:p w14:paraId="10F2DE40" w14:textId="77777777" w:rsidR="000877E3" w:rsidRDefault="000877E3" w:rsidP="00442546">
      <w:pPr>
        <w:rPr>
          <w:rFonts w:cstheme="minorHAnsi"/>
          <w:b/>
          <w:bCs/>
          <w:sz w:val="72"/>
          <w:szCs w:val="72"/>
        </w:rPr>
      </w:pPr>
    </w:p>
    <w:p w14:paraId="239E2024" w14:textId="2C4D49EC" w:rsidR="00D902A3" w:rsidRPr="000877E3" w:rsidRDefault="00442546" w:rsidP="006A10FD">
      <w:pPr>
        <w:jc w:val="center"/>
        <w:rPr>
          <w:rStyle w:val="IntenseReference"/>
          <w:sz w:val="52"/>
          <w:szCs w:val="52"/>
        </w:rPr>
      </w:pPr>
      <w:r w:rsidRPr="000877E3">
        <w:rPr>
          <w:rStyle w:val="IntenseReference"/>
          <w:sz w:val="52"/>
          <w:szCs w:val="52"/>
        </w:rPr>
        <w:t>Eviction and Mental Health</w:t>
      </w:r>
    </w:p>
    <w:p w14:paraId="38BDA6B6" w14:textId="2827E06C" w:rsidR="00D902A3" w:rsidRPr="00F92330" w:rsidRDefault="00442546" w:rsidP="006A10FD">
      <w:pPr>
        <w:jc w:val="center"/>
        <w:rPr>
          <w:rFonts w:cstheme="minorHAnsi"/>
          <w:b/>
          <w:bCs/>
          <w:sz w:val="24"/>
          <w:szCs w:val="24"/>
        </w:rPr>
      </w:pPr>
      <w:r w:rsidRPr="00F92330">
        <w:rPr>
          <w:rFonts w:cstheme="minorHAnsi"/>
          <w:b/>
          <w:bCs/>
          <w:sz w:val="24"/>
          <w:szCs w:val="24"/>
        </w:rPr>
        <w:t>Exploring the impact of evictions on trauma, depression, anxiety, and rates of suicide</w:t>
      </w:r>
    </w:p>
    <w:p w14:paraId="76AD0F29" w14:textId="07E8C572" w:rsidR="00442546" w:rsidRDefault="00442546" w:rsidP="000E1340">
      <w:pPr>
        <w:spacing w:line="240" w:lineRule="auto"/>
        <w:contextualSpacing/>
        <w:jc w:val="center"/>
        <w:rPr>
          <w:rFonts w:cstheme="minorHAnsi"/>
          <w:b/>
          <w:bCs/>
          <w:sz w:val="24"/>
          <w:szCs w:val="24"/>
        </w:rPr>
      </w:pPr>
      <w:r w:rsidRPr="00F92330">
        <w:rPr>
          <w:rFonts w:cstheme="minorHAnsi"/>
          <w:b/>
          <w:bCs/>
          <w:sz w:val="24"/>
          <w:szCs w:val="24"/>
        </w:rPr>
        <w:t>Liam A. Smith</w:t>
      </w:r>
    </w:p>
    <w:p w14:paraId="07EB6236" w14:textId="67F3E9A3" w:rsidR="000E1340" w:rsidRDefault="000E1340" w:rsidP="000E1340">
      <w:pPr>
        <w:spacing w:line="240" w:lineRule="auto"/>
        <w:contextualSpacing/>
        <w:jc w:val="center"/>
        <w:rPr>
          <w:rFonts w:cstheme="minorHAnsi"/>
          <w:b/>
          <w:bCs/>
          <w:sz w:val="24"/>
          <w:szCs w:val="24"/>
        </w:rPr>
      </w:pPr>
      <w:r>
        <w:rPr>
          <w:rFonts w:cstheme="minorHAnsi"/>
          <w:b/>
          <w:bCs/>
          <w:sz w:val="24"/>
          <w:szCs w:val="24"/>
        </w:rPr>
        <w:t>California State University, Sacramento</w:t>
      </w:r>
    </w:p>
    <w:p w14:paraId="13570E99" w14:textId="4DCB795F" w:rsidR="000E1340" w:rsidRPr="00F92330" w:rsidRDefault="000E1340" w:rsidP="000E1340">
      <w:pPr>
        <w:spacing w:line="240" w:lineRule="auto"/>
        <w:contextualSpacing/>
        <w:jc w:val="center"/>
        <w:rPr>
          <w:rFonts w:cstheme="minorHAnsi"/>
          <w:b/>
          <w:bCs/>
          <w:sz w:val="24"/>
          <w:szCs w:val="24"/>
        </w:rPr>
      </w:pPr>
      <w:proofErr w:type="gramStart"/>
      <w:r>
        <w:rPr>
          <w:rFonts w:cstheme="minorHAnsi"/>
          <w:b/>
          <w:bCs/>
          <w:sz w:val="24"/>
          <w:szCs w:val="24"/>
        </w:rPr>
        <w:t>April,</w:t>
      </w:r>
      <w:proofErr w:type="gramEnd"/>
      <w:r>
        <w:rPr>
          <w:rFonts w:cstheme="minorHAnsi"/>
          <w:b/>
          <w:bCs/>
          <w:sz w:val="24"/>
          <w:szCs w:val="24"/>
        </w:rPr>
        <w:t xml:space="preserve"> 2021</w:t>
      </w:r>
    </w:p>
    <w:p w14:paraId="0629F96F" w14:textId="77777777" w:rsidR="006A10FD" w:rsidRDefault="006A10FD" w:rsidP="006A10FD">
      <w:pPr>
        <w:jc w:val="center"/>
        <w:rPr>
          <w:rFonts w:cstheme="minorHAnsi"/>
          <w:b/>
          <w:bCs/>
          <w:sz w:val="24"/>
          <w:szCs w:val="24"/>
        </w:rPr>
      </w:pPr>
    </w:p>
    <w:p w14:paraId="40B5CBB1" w14:textId="2089C1F0" w:rsidR="000E1340" w:rsidRDefault="000E1340" w:rsidP="006A10FD">
      <w:pPr>
        <w:jc w:val="center"/>
        <w:rPr>
          <w:rFonts w:cstheme="minorHAnsi"/>
          <w:b/>
          <w:bCs/>
          <w:sz w:val="24"/>
          <w:szCs w:val="24"/>
        </w:rPr>
        <w:sectPr w:rsidR="000E1340" w:rsidSect="006A10FD">
          <w:type w:val="continuous"/>
          <w:pgSz w:w="12240" w:h="15840"/>
          <w:pgMar w:top="1440" w:right="1440" w:bottom="1440" w:left="1440" w:header="720" w:footer="720" w:gutter="0"/>
          <w:cols w:space="720"/>
          <w:docGrid w:linePitch="360"/>
        </w:sectPr>
      </w:pPr>
    </w:p>
    <w:p w14:paraId="56E44939" w14:textId="77777777" w:rsidR="00442546" w:rsidRPr="00F92330" w:rsidRDefault="00442546" w:rsidP="006A10FD">
      <w:pPr>
        <w:jc w:val="center"/>
        <w:rPr>
          <w:rFonts w:cstheme="minorHAnsi"/>
          <w:b/>
          <w:bCs/>
          <w:sz w:val="24"/>
          <w:szCs w:val="24"/>
        </w:rPr>
        <w:sectPr w:rsidR="00442546" w:rsidRPr="00F92330" w:rsidSect="006A10FD">
          <w:type w:val="continuous"/>
          <w:pgSz w:w="12240" w:h="15840"/>
          <w:pgMar w:top="1440" w:right="1440" w:bottom="1440" w:left="1440" w:header="720" w:footer="720" w:gutter="0"/>
          <w:cols w:num="2" w:space="720" w:equalWidth="0">
            <w:col w:w="2880" w:space="720"/>
            <w:col w:w="5760"/>
          </w:cols>
          <w:docGrid w:linePitch="360"/>
        </w:sectPr>
      </w:pPr>
    </w:p>
    <w:p w14:paraId="415F0215" w14:textId="77777777" w:rsidR="006A10FD" w:rsidRDefault="006A10FD" w:rsidP="006A10FD">
      <w:pPr>
        <w:jc w:val="center"/>
        <w:rPr>
          <w:rFonts w:cstheme="minorHAnsi"/>
          <w:b/>
          <w:bCs/>
          <w:sz w:val="24"/>
          <w:szCs w:val="24"/>
        </w:rPr>
      </w:pPr>
    </w:p>
    <w:p w14:paraId="07062BF6" w14:textId="585EA14E" w:rsidR="006A10FD" w:rsidRPr="00704112" w:rsidRDefault="006A10FD" w:rsidP="006A10FD">
      <w:pPr>
        <w:jc w:val="center"/>
        <w:rPr>
          <w:rStyle w:val="IntenseReference"/>
          <w:sz w:val="24"/>
          <w:szCs w:val="24"/>
        </w:rPr>
      </w:pPr>
      <w:r w:rsidRPr="00704112">
        <w:rPr>
          <w:rStyle w:val="IntenseReference"/>
          <w:sz w:val="24"/>
          <w:szCs w:val="24"/>
        </w:rPr>
        <w:t>Table of Contents</w:t>
      </w:r>
    </w:p>
    <w:tbl>
      <w:tblPr>
        <w:tblW w:w="9240" w:type="dxa"/>
        <w:tblLook w:val="04A0" w:firstRow="1" w:lastRow="0" w:firstColumn="1" w:lastColumn="0" w:noHBand="0" w:noVBand="1"/>
      </w:tblPr>
      <w:tblGrid>
        <w:gridCol w:w="8366"/>
        <w:gridCol w:w="960"/>
      </w:tblGrid>
      <w:tr w:rsidR="00704112" w:rsidRPr="00704112" w14:paraId="5D5051AC" w14:textId="77777777" w:rsidTr="004E00B3">
        <w:trPr>
          <w:trHeight w:val="315"/>
        </w:trPr>
        <w:tc>
          <w:tcPr>
            <w:tcW w:w="8280" w:type="dxa"/>
            <w:tcBorders>
              <w:top w:val="nil"/>
              <w:left w:val="nil"/>
              <w:bottom w:val="nil"/>
              <w:right w:val="nil"/>
            </w:tcBorders>
            <w:shd w:val="clear" w:color="auto" w:fill="auto"/>
            <w:noWrap/>
            <w:vAlign w:val="center"/>
            <w:hideMark/>
          </w:tcPr>
          <w:p w14:paraId="0A6AA67C" w14:textId="4BA8F80E"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Executive Summary…</w:t>
            </w:r>
            <w:r w:rsidR="000B2C6C">
              <w:rPr>
                <w:rFonts w:ascii="Calibri" w:eastAsia="Times New Roman" w:hAnsi="Calibri" w:cstheme="minorHAnsi"/>
                <w:b/>
                <w:bCs/>
                <w:color w:val="000000"/>
                <w:sz w:val="24"/>
                <w:szCs w:val="24"/>
              </w:rPr>
              <w:t>…</w:t>
            </w:r>
            <w:r w:rsidRPr="00704112">
              <w:rPr>
                <w:rFonts w:ascii="Calibri" w:eastAsia="Times New Roman" w:hAnsi="Calibri" w:cstheme="minorHAnsi"/>
                <w:b/>
                <w:bCs/>
                <w:color w:val="000000"/>
                <w:sz w:val="24"/>
                <w:szCs w:val="24"/>
              </w:rPr>
              <w:t>.................................................................................</w:t>
            </w:r>
            <w:r w:rsidR="009C798F">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38818ECE"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1</w:t>
            </w:r>
          </w:p>
        </w:tc>
      </w:tr>
      <w:tr w:rsidR="00704112" w:rsidRPr="00704112" w14:paraId="5EB9752A" w14:textId="77777777" w:rsidTr="004E00B3">
        <w:trPr>
          <w:trHeight w:val="315"/>
        </w:trPr>
        <w:tc>
          <w:tcPr>
            <w:tcW w:w="8280" w:type="dxa"/>
            <w:tcBorders>
              <w:top w:val="nil"/>
              <w:left w:val="nil"/>
              <w:bottom w:val="nil"/>
              <w:right w:val="nil"/>
            </w:tcBorders>
            <w:shd w:val="clear" w:color="auto" w:fill="auto"/>
            <w:noWrap/>
            <w:vAlign w:val="center"/>
            <w:hideMark/>
          </w:tcPr>
          <w:p w14:paraId="6D5A0F58" w14:textId="55A91F24"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Introduction…................................................................................................</w:t>
            </w:r>
            <w:r w:rsidR="009C798F" w:rsidRPr="00704112">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330B9755"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1</w:t>
            </w:r>
          </w:p>
        </w:tc>
      </w:tr>
      <w:tr w:rsidR="00704112" w:rsidRPr="00704112" w14:paraId="03029D86" w14:textId="77777777" w:rsidTr="004E00B3">
        <w:trPr>
          <w:trHeight w:val="315"/>
        </w:trPr>
        <w:tc>
          <w:tcPr>
            <w:tcW w:w="8280" w:type="dxa"/>
            <w:tcBorders>
              <w:top w:val="nil"/>
              <w:left w:val="nil"/>
              <w:bottom w:val="nil"/>
              <w:right w:val="nil"/>
            </w:tcBorders>
            <w:shd w:val="clear" w:color="auto" w:fill="auto"/>
            <w:noWrap/>
            <w:vAlign w:val="center"/>
            <w:hideMark/>
          </w:tcPr>
          <w:p w14:paraId="0BD0AB92" w14:textId="541C8630"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Background….................................................................................................</w:t>
            </w:r>
            <w:r w:rsidR="009C798F" w:rsidRPr="00704112">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5F52B550"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4</w:t>
            </w:r>
          </w:p>
        </w:tc>
      </w:tr>
      <w:tr w:rsidR="00704112" w:rsidRPr="00704112" w14:paraId="6AA74152" w14:textId="77777777" w:rsidTr="004E00B3">
        <w:trPr>
          <w:trHeight w:val="315"/>
        </w:trPr>
        <w:tc>
          <w:tcPr>
            <w:tcW w:w="8280" w:type="dxa"/>
            <w:tcBorders>
              <w:top w:val="nil"/>
              <w:left w:val="nil"/>
              <w:bottom w:val="nil"/>
              <w:right w:val="nil"/>
            </w:tcBorders>
            <w:shd w:val="clear" w:color="auto" w:fill="auto"/>
            <w:noWrap/>
            <w:vAlign w:val="center"/>
            <w:hideMark/>
          </w:tcPr>
          <w:p w14:paraId="1661E0E5" w14:textId="6554BEAB"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Interviews…...................................................................................................</w:t>
            </w:r>
            <w:r w:rsidR="009C798F" w:rsidRPr="00704112">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43FD620C"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7</w:t>
            </w:r>
          </w:p>
        </w:tc>
      </w:tr>
      <w:tr w:rsidR="00704112" w:rsidRPr="00704112" w14:paraId="151B07A4" w14:textId="77777777" w:rsidTr="004E00B3">
        <w:trPr>
          <w:trHeight w:val="315"/>
        </w:trPr>
        <w:tc>
          <w:tcPr>
            <w:tcW w:w="8280" w:type="dxa"/>
            <w:tcBorders>
              <w:top w:val="nil"/>
              <w:left w:val="nil"/>
              <w:bottom w:val="nil"/>
              <w:right w:val="nil"/>
            </w:tcBorders>
            <w:shd w:val="clear" w:color="auto" w:fill="auto"/>
            <w:noWrap/>
            <w:vAlign w:val="center"/>
            <w:hideMark/>
          </w:tcPr>
          <w:p w14:paraId="2D81D443" w14:textId="5018DE60"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 xml:space="preserve">Findings </w:t>
            </w:r>
            <w:proofErr w:type="gramStart"/>
            <w:r w:rsidRPr="00704112">
              <w:rPr>
                <w:rFonts w:ascii="Calibri" w:eastAsia="Times New Roman" w:hAnsi="Calibri" w:cstheme="minorHAnsi"/>
                <w:b/>
                <w:bCs/>
                <w:color w:val="000000"/>
                <w:sz w:val="24"/>
                <w:szCs w:val="24"/>
              </w:rPr>
              <w:t>From</w:t>
            </w:r>
            <w:proofErr w:type="gramEnd"/>
            <w:r w:rsidRPr="00704112">
              <w:rPr>
                <w:rFonts w:ascii="Calibri" w:eastAsia="Times New Roman" w:hAnsi="Calibri" w:cstheme="minorHAnsi"/>
                <w:b/>
                <w:bCs/>
                <w:color w:val="000000"/>
                <w:sz w:val="24"/>
                <w:szCs w:val="24"/>
              </w:rPr>
              <w:t xml:space="preserve"> Prior Research</w:t>
            </w:r>
            <w:r w:rsidR="00316C52">
              <w:rPr>
                <w:rFonts w:ascii="Calibri" w:eastAsia="Times New Roman" w:hAnsi="Calibri" w:cstheme="minorHAnsi"/>
                <w:b/>
                <w:bCs/>
                <w:color w:val="000000"/>
                <w:sz w:val="24"/>
                <w:szCs w:val="24"/>
              </w:rPr>
              <w:t>: Th Vicious Cycle</w:t>
            </w:r>
            <w:r w:rsidRPr="00704112">
              <w:rPr>
                <w:rFonts w:ascii="Calibri" w:eastAsia="Times New Roman" w:hAnsi="Calibri" w:cstheme="minorHAnsi"/>
                <w:b/>
                <w:bCs/>
                <w:color w:val="000000"/>
                <w:sz w:val="24"/>
                <w:szCs w:val="24"/>
              </w:rPr>
              <w:t>…...................................................</w:t>
            </w:r>
            <w:r w:rsidR="00316C52">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68B8D046"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10</w:t>
            </w:r>
          </w:p>
        </w:tc>
      </w:tr>
      <w:tr w:rsidR="00704112" w:rsidRPr="00704112" w14:paraId="2F07FF8B" w14:textId="77777777" w:rsidTr="004E00B3">
        <w:trPr>
          <w:trHeight w:val="315"/>
        </w:trPr>
        <w:tc>
          <w:tcPr>
            <w:tcW w:w="8280" w:type="dxa"/>
            <w:tcBorders>
              <w:top w:val="nil"/>
              <w:left w:val="nil"/>
              <w:bottom w:val="nil"/>
              <w:right w:val="nil"/>
            </w:tcBorders>
            <w:shd w:val="clear" w:color="auto" w:fill="auto"/>
            <w:noWrap/>
            <w:vAlign w:val="center"/>
            <w:hideMark/>
          </w:tcPr>
          <w:p w14:paraId="4900DBDF" w14:textId="7F66CDA1"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The Eviction Process is a Mental Health Challenge…....................................</w:t>
            </w:r>
            <w:r w:rsidR="009C798F" w:rsidRPr="00704112">
              <w:rPr>
                <w:rFonts w:ascii="Calibri" w:eastAsia="Times New Roman" w:hAnsi="Calibri" w:cstheme="minorHAnsi"/>
                <w:b/>
                <w:bCs/>
                <w:color w:val="000000"/>
                <w:sz w:val="24"/>
                <w:szCs w:val="24"/>
              </w:rPr>
              <w:t>.........</w:t>
            </w:r>
            <w:r w:rsidR="00D463C1">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40FFC3D1"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12</w:t>
            </w:r>
          </w:p>
        </w:tc>
      </w:tr>
      <w:tr w:rsidR="00704112" w:rsidRPr="00704112" w14:paraId="6D38F0B5" w14:textId="77777777" w:rsidTr="004E00B3">
        <w:trPr>
          <w:trHeight w:val="315"/>
        </w:trPr>
        <w:tc>
          <w:tcPr>
            <w:tcW w:w="8280" w:type="dxa"/>
            <w:tcBorders>
              <w:top w:val="nil"/>
              <w:left w:val="nil"/>
              <w:bottom w:val="nil"/>
              <w:right w:val="nil"/>
            </w:tcBorders>
            <w:shd w:val="clear" w:color="auto" w:fill="auto"/>
            <w:noWrap/>
            <w:vAlign w:val="center"/>
            <w:hideMark/>
          </w:tcPr>
          <w:p w14:paraId="60E3506F" w14:textId="25EB9978"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Deeper into Direct Interventions…...............................................................</w:t>
            </w:r>
            <w:r w:rsidR="009C798F" w:rsidRPr="00704112">
              <w:rPr>
                <w:rFonts w:ascii="Calibri" w:eastAsia="Times New Roman" w:hAnsi="Calibri" w:cstheme="minorHAnsi"/>
                <w:b/>
                <w:bCs/>
                <w:color w:val="000000"/>
                <w:sz w:val="24"/>
                <w:szCs w:val="24"/>
              </w:rPr>
              <w:t>.........</w:t>
            </w:r>
            <w:r w:rsidR="00D463C1">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0B91A378"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16</w:t>
            </w:r>
          </w:p>
        </w:tc>
      </w:tr>
      <w:tr w:rsidR="00704112" w:rsidRPr="00704112" w14:paraId="393246BF" w14:textId="77777777" w:rsidTr="004E00B3">
        <w:trPr>
          <w:trHeight w:val="315"/>
        </w:trPr>
        <w:tc>
          <w:tcPr>
            <w:tcW w:w="8280" w:type="dxa"/>
            <w:tcBorders>
              <w:top w:val="nil"/>
              <w:left w:val="nil"/>
              <w:bottom w:val="nil"/>
              <w:right w:val="nil"/>
            </w:tcBorders>
            <w:shd w:val="clear" w:color="auto" w:fill="auto"/>
            <w:noWrap/>
            <w:vAlign w:val="center"/>
            <w:hideMark/>
          </w:tcPr>
          <w:p w14:paraId="3C773FD9" w14:textId="6183A82C"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Passive Interventions….................................................................................</w:t>
            </w:r>
            <w:r w:rsidR="009C798F" w:rsidRPr="00704112">
              <w:rPr>
                <w:rFonts w:ascii="Calibri" w:eastAsia="Times New Roman" w:hAnsi="Calibri" w:cstheme="minorHAnsi"/>
                <w:b/>
                <w:bCs/>
                <w:color w:val="000000"/>
                <w:sz w:val="24"/>
                <w:szCs w:val="24"/>
              </w:rPr>
              <w:t>.........</w:t>
            </w:r>
            <w:r w:rsidR="00D463C1">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45D9377B"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20</w:t>
            </w:r>
          </w:p>
        </w:tc>
      </w:tr>
      <w:tr w:rsidR="00704112" w:rsidRPr="00704112" w14:paraId="362CB5F0" w14:textId="77777777" w:rsidTr="004E00B3">
        <w:trPr>
          <w:trHeight w:val="315"/>
        </w:trPr>
        <w:tc>
          <w:tcPr>
            <w:tcW w:w="8280" w:type="dxa"/>
            <w:tcBorders>
              <w:top w:val="nil"/>
              <w:left w:val="nil"/>
              <w:bottom w:val="nil"/>
              <w:right w:val="nil"/>
            </w:tcBorders>
            <w:shd w:val="clear" w:color="auto" w:fill="auto"/>
            <w:noWrap/>
            <w:vAlign w:val="center"/>
            <w:hideMark/>
          </w:tcPr>
          <w:p w14:paraId="58D0D7CA" w14:textId="5A6B4D5C"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Indirect Interventions…................................................................................</w:t>
            </w:r>
            <w:r w:rsidR="009C798F" w:rsidRPr="00704112">
              <w:rPr>
                <w:rFonts w:ascii="Calibri" w:eastAsia="Times New Roman" w:hAnsi="Calibri" w:cstheme="minorHAnsi"/>
                <w:b/>
                <w:bCs/>
                <w:color w:val="000000"/>
                <w:sz w:val="24"/>
                <w:szCs w:val="24"/>
              </w:rPr>
              <w:t>.........</w:t>
            </w:r>
            <w:r w:rsidR="00D463C1">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5EF34862"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21</w:t>
            </w:r>
          </w:p>
        </w:tc>
      </w:tr>
      <w:tr w:rsidR="00704112" w:rsidRPr="00704112" w14:paraId="21B2C70D" w14:textId="77777777" w:rsidTr="004E00B3">
        <w:trPr>
          <w:trHeight w:val="315"/>
        </w:trPr>
        <w:tc>
          <w:tcPr>
            <w:tcW w:w="8280" w:type="dxa"/>
            <w:tcBorders>
              <w:top w:val="nil"/>
              <w:left w:val="nil"/>
              <w:bottom w:val="nil"/>
              <w:right w:val="nil"/>
            </w:tcBorders>
            <w:shd w:val="clear" w:color="auto" w:fill="auto"/>
            <w:noWrap/>
            <w:vAlign w:val="center"/>
            <w:hideMark/>
          </w:tcPr>
          <w:p w14:paraId="6C4C85F6" w14:textId="5EA82B80" w:rsidR="00704112" w:rsidRPr="00704112" w:rsidRDefault="00704112" w:rsidP="000E1340">
            <w:pPr>
              <w:spacing w:after="0" w:line="480" w:lineRule="auto"/>
              <w:rPr>
                <w:rFonts w:ascii="Calibri" w:eastAsia="Times New Roman" w:hAnsi="Calibri" w:cs="Calibri"/>
                <w:b/>
                <w:bCs/>
                <w:color w:val="000000"/>
                <w:sz w:val="24"/>
                <w:szCs w:val="24"/>
              </w:rPr>
            </w:pPr>
            <w:r w:rsidRPr="00704112">
              <w:rPr>
                <w:rFonts w:ascii="Calibri" w:eastAsia="Times New Roman" w:hAnsi="Calibri" w:cstheme="minorHAnsi"/>
                <w:b/>
                <w:bCs/>
                <w:color w:val="000000"/>
                <w:sz w:val="24"/>
                <w:szCs w:val="24"/>
              </w:rPr>
              <w:t>Recommendation….......................................................................................</w:t>
            </w:r>
            <w:r w:rsidR="009C798F" w:rsidRPr="00704112">
              <w:rPr>
                <w:rFonts w:ascii="Calibri" w:eastAsia="Times New Roman" w:hAnsi="Calibri" w:cstheme="minorHAnsi"/>
                <w:b/>
                <w:bCs/>
                <w:color w:val="000000"/>
                <w:sz w:val="24"/>
                <w:szCs w:val="24"/>
              </w:rPr>
              <w:t>.........</w:t>
            </w:r>
          </w:p>
        </w:tc>
        <w:tc>
          <w:tcPr>
            <w:tcW w:w="960" w:type="dxa"/>
            <w:tcBorders>
              <w:top w:val="nil"/>
              <w:left w:val="nil"/>
              <w:bottom w:val="nil"/>
              <w:right w:val="nil"/>
            </w:tcBorders>
            <w:shd w:val="clear" w:color="auto" w:fill="auto"/>
            <w:noWrap/>
            <w:vAlign w:val="center"/>
            <w:hideMark/>
          </w:tcPr>
          <w:p w14:paraId="4EBC1D09" w14:textId="77777777" w:rsidR="00704112" w:rsidRPr="00704112" w:rsidRDefault="00704112" w:rsidP="004E00B3">
            <w:pPr>
              <w:spacing w:after="0" w:line="480" w:lineRule="auto"/>
              <w:jc w:val="center"/>
              <w:rPr>
                <w:rFonts w:ascii="Calibri" w:eastAsia="Times New Roman" w:hAnsi="Calibri" w:cs="Calibri"/>
                <w:b/>
                <w:bCs/>
                <w:color w:val="000000"/>
                <w:sz w:val="24"/>
                <w:szCs w:val="24"/>
              </w:rPr>
            </w:pPr>
            <w:r w:rsidRPr="00704112">
              <w:rPr>
                <w:rFonts w:ascii="Calibri" w:eastAsia="Times New Roman" w:hAnsi="Calibri" w:cs="Calibri"/>
                <w:b/>
                <w:bCs/>
                <w:color w:val="000000"/>
                <w:sz w:val="24"/>
                <w:szCs w:val="24"/>
              </w:rPr>
              <w:t>22</w:t>
            </w:r>
          </w:p>
        </w:tc>
      </w:tr>
    </w:tbl>
    <w:p w14:paraId="53FB7C48" w14:textId="77777777" w:rsidR="00704112" w:rsidRDefault="00704112">
      <w:pPr>
        <w:rPr>
          <w:rStyle w:val="IntenseReference"/>
          <w:rFonts w:cstheme="minorHAnsi"/>
          <w:sz w:val="24"/>
          <w:szCs w:val="24"/>
        </w:rPr>
      </w:pPr>
      <w:r>
        <w:rPr>
          <w:rStyle w:val="IntenseReference"/>
          <w:rFonts w:cstheme="minorHAnsi"/>
          <w:sz w:val="24"/>
          <w:szCs w:val="24"/>
        </w:rPr>
        <w:br w:type="page"/>
      </w:r>
    </w:p>
    <w:p w14:paraId="4A19CF78" w14:textId="1D57FFC2" w:rsidR="00EA66D2" w:rsidRPr="00F92330" w:rsidRDefault="00EA66D2" w:rsidP="008420E0">
      <w:pPr>
        <w:spacing w:after="120" w:line="240" w:lineRule="auto"/>
        <w:rPr>
          <w:rStyle w:val="IntenseReference"/>
          <w:rFonts w:cstheme="minorHAnsi"/>
          <w:sz w:val="24"/>
          <w:szCs w:val="24"/>
        </w:rPr>
      </w:pPr>
      <w:r w:rsidRPr="00F92330">
        <w:rPr>
          <w:rStyle w:val="IntenseReference"/>
          <w:rFonts w:cstheme="minorHAnsi"/>
          <w:sz w:val="24"/>
          <w:szCs w:val="24"/>
        </w:rPr>
        <w:lastRenderedPageBreak/>
        <w:t>Executive Summary</w:t>
      </w:r>
    </w:p>
    <w:p w14:paraId="5B391685" w14:textId="4EDA724D" w:rsidR="00EA66D2" w:rsidRPr="00F92330" w:rsidRDefault="00EA66D2" w:rsidP="008420E0">
      <w:pPr>
        <w:spacing w:after="120" w:line="240" w:lineRule="auto"/>
        <w:rPr>
          <w:rFonts w:cstheme="minorHAnsi"/>
          <w:sz w:val="24"/>
          <w:szCs w:val="24"/>
        </w:rPr>
      </w:pPr>
      <w:r w:rsidRPr="00F92330">
        <w:rPr>
          <w:rFonts w:cstheme="minorHAnsi"/>
          <w:sz w:val="24"/>
          <w:szCs w:val="24"/>
        </w:rPr>
        <w:t>Nationally and regionally, we face a housing crisis</w:t>
      </w:r>
      <w:r w:rsidR="004C62C1" w:rsidRPr="00F92330">
        <w:rPr>
          <w:rFonts w:cstheme="minorHAnsi"/>
          <w:sz w:val="24"/>
          <w:szCs w:val="24"/>
        </w:rPr>
        <w:t xml:space="preserve"> alongside an epidemic of depression and increasing suicide rates</w:t>
      </w:r>
      <w:r w:rsidRPr="00F92330">
        <w:rPr>
          <w:rFonts w:cstheme="minorHAnsi"/>
          <w:sz w:val="24"/>
          <w:szCs w:val="24"/>
        </w:rPr>
        <w:t xml:space="preserve">. </w:t>
      </w:r>
      <w:r w:rsidR="005F064A" w:rsidRPr="00F92330">
        <w:rPr>
          <w:rFonts w:cstheme="minorHAnsi"/>
          <w:sz w:val="24"/>
          <w:szCs w:val="24"/>
        </w:rPr>
        <w:t>In this report, I review</w:t>
      </w:r>
      <w:r w:rsidRPr="00F92330">
        <w:rPr>
          <w:rFonts w:cstheme="minorHAnsi"/>
          <w:sz w:val="24"/>
          <w:szCs w:val="24"/>
        </w:rPr>
        <w:t xml:space="preserve"> previous research showing </w:t>
      </w:r>
      <w:r w:rsidR="000D6FA7" w:rsidRPr="00F92330">
        <w:rPr>
          <w:rFonts w:cstheme="minorHAnsi"/>
          <w:sz w:val="24"/>
          <w:szCs w:val="24"/>
        </w:rPr>
        <w:t>the link between</w:t>
      </w:r>
      <w:r w:rsidRPr="00F92330">
        <w:rPr>
          <w:rFonts w:cstheme="minorHAnsi"/>
          <w:sz w:val="24"/>
          <w:szCs w:val="24"/>
        </w:rPr>
        <w:t xml:space="preserve"> evictions </w:t>
      </w:r>
      <w:r w:rsidR="000D6FA7" w:rsidRPr="00F92330">
        <w:rPr>
          <w:rFonts w:cstheme="minorHAnsi"/>
          <w:sz w:val="24"/>
          <w:szCs w:val="24"/>
        </w:rPr>
        <w:t>and</w:t>
      </w:r>
      <w:r w:rsidRPr="00F92330">
        <w:rPr>
          <w:rFonts w:cstheme="minorHAnsi"/>
          <w:sz w:val="24"/>
          <w:szCs w:val="24"/>
        </w:rPr>
        <w:t xml:space="preserve"> suicide, </w:t>
      </w:r>
      <w:r w:rsidR="00B85131" w:rsidRPr="00F92330">
        <w:rPr>
          <w:rFonts w:cstheme="minorHAnsi"/>
          <w:sz w:val="24"/>
          <w:szCs w:val="24"/>
        </w:rPr>
        <w:t>post-traumatic</w:t>
      </w:r>
      <w:r w:rsidRPr="00F92330">
        <w:rPr>
          <w:rFonts w:cstheme="minorHAnsi"/>
          <w:sz w:val="24"/>
          <w:szCs w:val="24"/>
        </w:rPr>
        <w:t xml:space="preserve"> stress disorder, depression, and anxiety. </w:t>
      </w:r>
      <w:r w:rsidR="00F4308A" w:rsidRPr="00F92330">
        <w:rPr>
          <w:rFonts w:cstheme="minorHAnsi"/>
          <w:sz w:val="24"/>
          <w:szCs w:val="24"/>
        </w:rPr>
        <w:t xml:space="preserve">I use supplemental information from interviews with housing advocates and mental health practitioners to reinforce these findings. </w:t>
      </w:r>
      <w:r w:rsidRPr="00F92330">
        <w:rPr>
          <w:rFonts w:cstheme="minorHAnsi"/>
          <w:sz w:val="24"/>
          <w:szCs w:val="24"/>
        </w:rPr>
        <w:t>I provide several policy options to consider in mitigating th</w:t>
      </w:r>
      <w:r w:rsidR="00F4308A" w:rsidRPr="00F92330">
        <w:rPr>
          <w:rFonts w:cstheme="minorHAnsi"/>
          <w:sz w:val="24"/>
          <w:szCs w:val="24"/>
        </w:rPr>
        <w:t>ese</w:t>
      </w:r>
      <w:r w:rsidRPr="00F92330">
        <w:rPr>
          <w:rFonts w:cstheme="minorHAnsi"/>
          <w:sz w:val="24"/>
          <w:szCs w:val="24"/>
        </w:rPr>
        <w:t xml:space="preserve"> problem</w:t>
      </w:r>
      <w:r w:rsidR="00F4308A" w:rsidRPr="00F92330">
        <w:rPr>
          <w:rFonts w:cstheme="minorHAnsi"/>
          <w:sz w:val="24"/>
          <w:szCs w:val="24"/>
        </w:rPr>
        <w:t>s</w:t>
      </w:r>
      <w:r w:rsidRPr="00F92330">
        <w:rPr>
          <w:rFonts w:cstheme="minorHAnsi"/>
          <w:sz w:val="24"/>
          <w:szCs w:val="24"/>
        </w:rPr>
        <w:t xml:space="preserve">, and specifically recommend that we strengthen just-cause eviction protections in California. Policymakers should also consider implementing wraparound mental health services and supportive housing as ways to directly target mental health disorders </w:t>
      </w:r>
      <w:r w:rsidR="00EA509C" w:rsidRPr="00F92330">
        <w:rPr>
          <w:rFonts w:cstheme="minorHAnsi"/>
          <w:sz w:val="24"/>
          <w:szCs w:val="24"/>
        </w:rPr>
        <w:t>associated with</w:t>
      </w:r>
      <w:r w:rsidRPr="00F92330">
        <w:rPr>
          <w:rFonts w:cstheme="minorHAnsi"/>
          <w:sz w:val="24"/>
          <w:szCs w:val="24"/>
        </w:rPr>
        <w:t xml:space="preserve"> housing instability and the eviction process. </w:t>
      </w:r>
    </w:p>
    <w:p w14:paraId="768F43E1" w14:textId="77777777" w:rsidR="000B1A2E" w:rsidRPr="00F92330" w:rsidRDefault="000B1A2E" w:rsidP="008420E0">
      <w:pPr>
        <w:spacing w:after="120" w:line="240" w:lineRule="auto"/>
        <w:rPr>
          <w:rFonts w:cstheme="minorHAnsi"/>
          <w:b/>
          <w:bCs/>
          <w:sz w:val="24"/>
          <w:szCs w:val="24"/>
        </w:rPr>
      </w:pPr>
    </w:p>
    <w:p w14:paraId="4C919E48" w14:textId="39DB065B" w:rsidR="001D418D" w:rsidRPr="00F92330" w:rsidRDefault="001D418D" w:rsidP="008420E0">
      <w:pPr>
        <w:spacing w:after="120" w:line="240" w:lineRule="auto"/>
        <w:rPr>
          <w:rStyle w:val="IntenseReference"/>
          <w:rFonts w:cstheme="minorHAnsi"/>
          <w:sz w:val="24"/>
          <w:szCs w:val="24"/>
        </w:rPr>
      </w:pPr>
      <w:r w:rsidRPr="00F92330">
        <w:rPr>
          <w:rStyle w:val="IntenseReference"/>
          <w:rFonts w:cstheme="minorHAnsi"/>
          <w:sz w:val="24"/>
          <w:szCs w:val="24"/>
        </w:rPr>
        <w:t>Introduction</w:t>
      </w:r>
    </w:p>
    <w:p w14:paraId="042344F1" w14:textId="58187358" w:rsidR="00A25B7E" w:rsidRPr="00F92330" w:rsidRDefault="001D418D" w:rsidP="008420E0">
      <w:pPr>
        <w:spacing w:after="120" w:line="240" w:lineRule="auto"/>
        <w:rPr>
          <w:rFonts w:cstheme="minorHAnsi"/>
          <w:sz w:val="24"/>
          <w:szCs w:val="24"/>
        </w:rPr>
      </w:pPr>
      <w:r w:rsidRPr="00F92330">
        <w:rPr>
          <w:rFonts w:cstheme="minorHAnsi"/>
          <w:sz w:val="24"/>
          <w:szCs w:val="24"/>
        </w:rPr>
        <w:t xml:space="preserve">Two of the most contentious problems in our current political and social climate are housing instability and mental health disorders. </w:t>
      </w:r>
      <w:r w:rsidR="00D50097" w:rsidRPr="00F92330">
        <w:rPr>
          <w:rFonts w:cstheme="minorHAnsi"/>
          <w:sz w:val="24"/>
          <w:szCs w:val="24"/>
        </w:rPr>
        <w:t xml:space="preserve">Modern research on housing and mental health show that the issues are intersectional; people with mental health disorders </w:t>
      </w:r>
      <w:r w:rsidR="00D246AB" w:rsidRPr="00F92330">
        <w:rPr>
          <w:rFonts w:cstheme="minorHAnsi"/>
          <w:sz w:val="24"/>
          <w:szCs w:val="24"/>
        </w:rPr>
        <w:t>often</w:t>
      </w:r>
      <w:r w:rsidR="00D50097" w:rsidRPr="00F92330">
        <w:rPr>
          <w:rFonts w:cstheme="minorHAnsi"/>
          <w:sz w:val="24"/>
          <w:szCs w:val="24"/>
        </w:rPr>
        <w:t xml:space="preserve"> find themselves in less stable housing, and less stable housing </w:t>
      </w:r>
      <w:r w:rsidR="00D246AB" w:rsidRPr="00F92330">
        <w:rPr>
          <w:rFonts w:cstheme="minorHAnsi"/>
          <w:sz w:val="24"/>
          <w:szCs w:val="24"/>
        </w:rPr>
        <w:t>often impacts</w:t>
      </w:r>
      <w:r w:rsidR="00D50097" w:rsidRPr="00F92330">
        <w:rPr>
          <w:rFonts w:cstheme="minorHAnsi"/>
          <w:sz w:val="24"/>
          <w:szCs w:val="24"/>
        </w:rPr>
        <w:t xml:space="preserve"> mental health</w:t>
      </w:r>
      <w:r w:rsidRPr="00F92330">
        <w:rPr>
          <w:rFonts w:cstheme="minorHAnsi"/>
          <w:sz w:val="24"/>
          <w:szCs w:val="24"/>
        </w:rPr>
        <w:t>. (</w:t>
      </w:r>
      <w:r w:rsidR="009A6F26" w:rsidRPr="00F92330">
        <w:rPr>
          <w:rFonts w:cstheme="minorHAnsi"/>
          <w:sz w:val="24"/>
          <w:szCs w:val="24"/>
        </w:rPr>
        <w:t>Holding et al, 2019</w:t>
      </w:r>
      <w:r w:rsidRPr="00F92330">
        <w:rPr>
          <w:rFonts w:cstheme="minorHAnsi"/>
          <w:sz w:val="24"/>
          <w:szCs w:val="24"/>
        </w:rPr>
        <w:t xml:space="preserve">, </w:t>
      </w:r>
      <w:r w:rsidR="00213711" w:rsidRPr="00F92330">
        <w:rPr>
          <w:rFonts w:eastAsia="Times New Roman" w:cstheme="minorHAnsi"/>
          <w:color w:val="000000"/>
          <w:sz w:val="24"/>
          <w:szCs w:val="24"/>
        </w:rPr>
        <w:t>Phinney et al, 2007</w:t>
      </w:r>
      <w:r w:rsidRPr="00F92330">
        <w:rPr>
          <w:rFonts w:cstheme="minorHAnsi"/>
          <w:sz w:val="24"/>
          <w:szCs w:val="24"/>
        </w:rPr>
        <w:t xml:space="preserve">) </w:t>
      </w:r>
      <w:r w:rsidR="00D246AB" w:rsidRPr="00F92330">
        <w:rPr>
          <w:rFonts w:cstheme="minorHAnsi"/>
          <w:sz w:val="24"/>
          <w:szCs w:val="24"/>
        </w:rPr>
        <w:t>COVID 19, and a multi-year trend of decreasing housing availability make the impact of housing stability on mental health is particularly important</w:t>
      </w:r>
      <w:r w:rsidRPr="00F92330">
        <w:rPr>
          <w:rFonts w:cstheme="minorHAnsi"/>
          <w:sz w:val="24"/>
          <w:szCs w:val="24"/>
        </w:rPr>
        <w:t>.</w:t>
      </w:r>
    </w:p>
    <w:p w14:paraId="660CAB6E" w14:textId="0C96C8D1" w:rsidR="001D418D" w:rsidRPr="00F92330" w:rsidRDefault="004B41A3" w:rsidP="008420E0">
      <w:pPr>
        <w:spacing w:after="120" w:line="240" w:lineRule="auto"/>
        <w:rPr>
          <w:rFonts w:cstheme="minorHAnsi"/>
          <w:sz w:val="24"/>
          <w:szCs w:val="24"/>
        </w:rPr>
      </w:pPr>
      <w:r w:rsidRPr="00F92330">
        <w:rPr>
          <w:rFonts w:cstheme="minorHAnsi"/>
          <w:sz w:val="24"/>
          <w:szCs w:val="24"/>
        </w:rPr>
        <w:t xml:space="preserve">During the pandemic, </w:t>
      </w:r>
      <w:r w:rsidR="001D418D" w:rsidRPr="00F92330">
        <w:rPr>
          <w:rFonts w:cstheme="minorHAnsi"/>
          <w:sz w:val="24"/>
          <w:szCs w:val="24"/>
        </w:rPr>
        <w:t xml:space="preserve">California </w:t>
      </w:r>
      <w:r w:rsidR="00B37043" w:rsidRPr="00F92330">
        <w:rPr>
          <w:rFonts w:cstheme="minorHAnsi"/>
          <w:sz w:val="24"/>
          <w:szCs w:val="24"/>
        </w:rPr>
        <w:t>halted evictions for many unemployed workers</w:t>
      </w:r>
      <w:r w:rsidR="001D418D" w:rsidRPr="00F92330">
        <w:rPr>
          <w:rFonts w:cstheme="minorHAnsi"/>
          <w:sz w:val="24"/>
          <w:szCs w:val="24"/>
        </w:rPr>
        <w:t xml:space="preserve">. </w:t>
      </w:r>
      <w:r w:rsidR="00986190" w:rsidRPr="00F92330">
        <w:rPr>
          <w:rFonts w:cstheme="minorHAnsi"/>
          <w:sz w:val="24"/>
          <w:szCs w:val="24"/>
        </w:rPr>
        <w:t xml:space="preserve">State Assembly Member </w:t>
      </w:r>
      <w:r w:rsidR="001D418D" w:rsidRPr="00F92330">
        <w:rPr>
          <w:rFonts w:cstheme="minorHAnsi"/>
          <w:sz w:val="24"/>
          <w:szCs w:val="24"/>
        </w:rPr>
        <w:t>David Chiu’s office penned AB 3088, the eviction moratorium</w:t>
      </w:r>
      <w:r w:rsidRPr="00F92330">
        <w:rPr>
          <w:rFonts w:cstheme="minorHAnsi"/>
          <w:sz w:val="24"/>
          <w:szCs w:val="24"/>
        </w:rPr>
        <w:t>, which</w:t>
      </w:r>
      <w:r w:rsidR="001D418D" w:rsidRPr="00F92330">
        <w:rPr>
          <w:rFonts w:cstheme="minorHAnsi"/>
          <w:sz w:val="24"/>
          <w:szCs w:val="24"/>
        </w:rPr>
        <w:t xml:space="preserve"> ensures that </w:t>
      </w:r>
      <w:r w:rsidR="00744379" w:rsidRPr="00F92330">
        <w:rPr>
          <w:rFonts w:cstheme="minorHAnsi"/>
          <w:sz w:val="24"/>
          <w:szCs w:val="24"/>
        </w:rPr>
        <w:t>landlords cannot evict renters</w:t>
      </w:r>
      <w:r w:rsidR="001D418D" w:rsidRPr="00F92330">
        <w:rPr>
          <w:rFonts w:cstheme="minorHAnsi"/>
          <w:sz w:val="24"/>
          <w:szCs w:val="24"/>
        </w:rPr>
        <w:t xml:space="preserve"> because of rental arrears </w:t>
      </w:r>
      <w:r w:rsidR="00744379" w:rsidRPr="00F92330">
        <w:rPr>
          <w:rFonts w:cstheme="minorHAnsi"/>
          <w:sz w:val="24"/>
          <w:szCs w:val="24"/>
        </w:rPr>
        <w:t>related to</w:t>
      </w:r>
      <w:r w:rsidR="001D418D" w:rsidRPr="00F92330">
        <w:rPr>
          <w:rFonts w:cstheme="minorHAnsi"/>
          <w:sz w:val="24"/>
          <w:szCs w:val="24"/>
        </w:rPr>
        <w:t xml:space="preserve"> </w:t>
      </w:r>
      <w:r w:rsidR="00744379" w:rsidRPr="00F92330">
        <w:rPr>
          <w:rFonts w:cstheme="minorHAnsi"/>
          <w:sz w:val="24"/>
          <w:szCs w:val="24"/>
        </w:rPr>
        <w:t xml:space="preserve">loss of income from </w:t>
      </w:r>
      <w:r w:rsidR="001D418D" w:rsidRPr="00F92330">
        <w:rPr>
          <w:rFonts w:cstheme="minorHAnsi"/>
          <w:sz w:val="24"/>
          <w:szCs w:val="24"/>
        </w:rPr>
        <w:t>COVID-19, if they pay at least 25% of their owed rent by January 31</w:t>
      </w:r>
      <w:r w:rsidR="001D418D" w:rsidRPr="00F92330">
        <w:rPr>
          <w:rFonts w:cstheme="minorHAnsi"/>
          <w:sz w:val="24"/>
          <w:szCs w:val="24"/>
          <w:vertAlign w:val="superscript"/>
        </w:rPr>
        <w:t>st</w:t>
      </w:r>
      <w:r w:rsidR="001D418D" w:rsidRPr="00F92330">
        <w:rPr>
          <w:rFonts w:cstheme="minorHAnsi"/>
          <w:sz w:val="24"/>
          <w:szCs w:val="24"/>
        </w:rPr>
        <w:t>, 2021. Governor Newsom has extended the eviction moratorium until June 30</w:t>
      </w:r>
      <w:r w:rsidR="001D418D" w:rsidRPr="00F92330">
        <w:rPr>
          <w:rFonts w:cstheme="minorHAnsi"/>
          <w:sz w:val="24"/>
          <w:szCs w:val="24"/>
          <w:vertAlign w:val="superscript"/>
        </w:rPr>
        <w:t>th</w:t>
      </w:r>
      <w:r w:rsidR="001D418D" w:rsidRPr="00F92330">
        <w:rPr>
          <w:rFonts w:cstheme="minorHAnsi"/>
          <w:sz w:val="24"/>
          <w:szCs w:val="24"/>
        </w:rPr>
        <w:t>, 2021</w:t>
      </w:r>
      <w:r w:rsidR="009316EC" w:rsidRPr="00F92330">
        <w:rPr>
          <w:rFonts w:cstheme="minorHAnsi"/>
          <w:sz w:val="24"/>
          <w:szCs w:val="24"/>
        </w:rPr>
        <w:t xml:space="preserve"> (</w:t>
      </w:r>
      <w:r w:rsidR="00A445E8" w:rsidRPr="00F92330">
        <w:rPr>
          <w:rFonts w:cstheme="minorHAnsi"/>
          <w:sz w:val="24"/>
          <w:szCs w:val="24"/>
        </w:rPr>
        <w:t>Housing Is Key, 2021</w:t>
      </w:r>
      <w:r w:rsidR="009316EC" w:rsidRPr="00F92330">
        <w:rPr>
          <w:rFonts w:cstheme="minorHAnsi"/>
          <w:sz w:val="24"/>
          <w:szCs w:val="24"/>
        </w:rPr>
        <w:t>)</w:t>
      </w:r>
      <w:r w:rsidR="001D418D" w:rsidRPr="00F92330">
        <w:rPr>
          <w:rFonts w:cstheme="minorHAnsi"/>
          <w:sz w:val="24"/>
          <w:szCs w:val="24"/>
        </w:rPr>
        <w:t>.</w:t>
      </w:r>
      <w:r w:rsidR="002018CE" w:rsidRPr="00F92330">
        <w:rPr>
          <w:rFonts w:cstheme="minorHAnsi"/>
          <w:sz w:val="24"/>
          <w:szCs w:val="24"/>
        </w:rPr>
        <w:t xml:space="preserve"> </w:t>
      </w:r>
      <w:r w:rsidR="00722DFC" w:rsidRPr="00F92330">
        <w:rPr>
          <w:rFonts w:cstheme="minorHAnsi"/>
          <w:sz w:val="24"/>
          <w:szCs w:val="24"/>
        </w:rPr>
        <w:t>This signals that the California state government acknowledges that e</w:t>
      </w:r>
      <w:r w:rsidR="001D418D" w:rsidRPr="00F92330">
        <w:rPr>
          <w:rFonts w:cstheme="minorHAnsi"/>
          <w:sz w:val="24"/>
          <w:szCs w:val="24"/>
        </w:rPr>
        <w:t xml:space="preserve">victions can cause harm to people who are financially </w:t>
      </w:r>
      <w:proofErr w:type="gramStart"/>
      <w:r w:rsidR="001D418D" w:rsidRPr="00F92330">
        <w:rPr>
          <w:rFonts w:cstheme="minorHAnsi"/>
          <w:sz w:val="24"/>
          <w:szCs w:val="24"/>
        </w:rPr>
        <w:t>vulnerable, and</w:t>
      </w:r>
      <w:proofErr w:type="gramEnd"/>
      <w:r w:rsidR="001D418D" w:rsidRPr="00F92330">
        <w:rPr>
          <w:rFonts w:cstheme="minorHAnsi"/>
          <w:sz w:val="24"/>
          <w:szCs w:val="24"/>
        </w:rPr>
        <w:t xml:space="preserve"> </w:t>
      </w:r>
      <w:r w:rsidR="00722DFC" w:rsidRPr="00F92330">
        <w:rPr>
          <w:rFonts w:cstheme="minorHAnsi"/>
          <w:sz w:val="24"/>
          <w:szCs w:val="24"/>
        </w:rPr>
        <w:t xml:space="preserve">will </w:t>
      </w:r>
      <w:r w:rsidR="001D418D" w:rsidRPr="00F92330">
        <w:rPr>
          <w:rFonts w:cstheme="minorHAnsi"/>
          <w:sz w:val="24"/>
          <w:szCs w:val="24"/>
        </w:rPr>
        <w:t xml:space="preserve">exacerbate </w:t>
      </w:r>
      <w:r w:rsidR="00722DFC" w:rsidRPr="00F92330">
        <w:rPr>
          <w:rFonts w:cstheme="minorHAnsi"/>
          <w:sz w:val="24"/>
          <w:szCs w:val="24"/>
        </w:rPr>
        <w:t xml:space="preserve">social and economic </w:t>
      </w:r>
      <w:r w:rsidR="001D418D" w:rsidRPr="00F92330">
        <w:rPr>
          <w:rFonts w:cstheme="minorHAnsi"/>
          <w:sz w:val="24"/>
          <w:szCs w:val="24"/>
        </w:rPr>
        <w:t xml:space="preserve">problems caused by the pandemic. The state is </w:t>
      </w:r>
      <w:r w:rsidR="00364C9B" w:rsidRPr="00F92330">
        <w:rPr>
          <w:rFonts w:cstheme="minorHAnsi"/>
          <w:sz w:val="24"/>
          <w:szCs w:val="24"/>
        </w:rPr>
        <w:t xml:space="preserve">prioritizing </w:t>
      </w:r>
      <w:r w:rsidR="001D418D" w:rsidRPr="00F92330">
        <w:rPr>
          <w:rFonts w:cstheme="minorHAnsi"/>
          <w:sz w:val="24"/>
          <w:szCs w:val="24"/>
        </w:rPr>
        <w:t>short-term</w:t>
      </w:r>
      <w:r w:rsidR="00364C9B" w:rsidRPr="00F92330">
        <w:rPr>
          <w:rFonts w:cstheme="minorHAnsi"/>
          <w:sz w:val="24"/>
          <w:szCs w:val="24"/>
        </w:rPr>
        <w:t xml:space="preserve"> protections </w:t>
      </w:r>
      <w:r w:rsidR="001D418D" w:rsidRPr="00F92330">
        <w:rPr>
          <w:rFonts w:cstheme="minorHAnsi"/>
          <w:sz w:val="24"/>
          <w:szCs w:val="24"/>
        </w:rPr>
        <w:t xml:space="preserve">from evictions that may cause more material hardship. </w:t>
      </w:r>
      <w:r w:rsidR="00364C9B" w:rsidRPr="00F92330">
        <w:rPr>
          <w:rFonts w:cstheme="minorHAnsi"/>
          <w:sz w:val="24"/>
          <w:szCs w:val="24"/>
        </w:rPr>
        <w:t>The state’s understanding of material hardship is important, but currently, state policies do not take into consideration the broader impact of eviction on mental health.</w:t>
      </w:r>
      <w:r w:rsidR="00F74FC6" w:rsidRPr="00F92330">
        <w:rPr>
          <w:rFonts w:cstheme="minorHAnsi"/>
          <w:sz w:val="24"/>
          <w:szCs w:val="24"/>
        </w:rPr>
        <w:t xml:space="preserve"> As we approach the end of the eviction moratorium, and renters will soon become responsible for their accrued debt, this may impact a large portion of the renting population.</w:t>
      </w:r>
    </w:p>
    <w:p w14:paraId="5DF59025" w14:textId="3D781998" w:rsidR="003F3A3C" w:rsidRPr="00F92330" w:rsidRDefault="001D418D" w:rsidP="008420E0">
      <w:pPr>
        <w:spacing w:after="120" w:line="240" w:lineRule="auto"/>
        <w:rPr>
          <w:rFonts w:cstheme="minorHAnsi"/>
          <w:sz w:val="24"/>
          <w:szCs w:val="24"/>
        </w:rPr>
      </w:pPr>
      <w:r w:rsidRPr="00F92330">
        <w:rPr>
          <w:rFonts w:cstheme="minorHAnsi"/>
          <w:sz w:val="24"/>
          <w:szCs w:val="24"/>
        </w:rPr>
        <w:t xml:space="preserve">Evictions are </w:t>
      </w:r>
      <w:r w:rsidR="00AE3040" w:rsidRPr="00F92330">
        <w:rPr>
          <w:rFonts w:cstheme="minorHAnsi"/>
          <w:sz w:val="24"/>
          <w:szCs w:val="24"/>
        </w:rPr>
        <w:t xml:space="preserve">psychologically </w:t>
      </w:r>
      <w:r w:rsidRPr="00F92330">
        <w:rPr>
          <w:rFonts w:cstheme="minorHAnsi"/>
          <w:sz w:val="24"/>
          <w:szCs w:val="24"/>
        </w:rPr>
        <w:t xml:space="preserve">traumatic events, both in the short and long-term. </w:t>
      </w:r>
      <w:bookmarkStart w:id="0" w:name="_Hlk68598535"/>
      <w:r w:rsidRPr="00F92330">
        <w:rPr>
          <w:rFonts w:cstheme="minorHAnsi"/>
          <w:sz w:val="24"/>
          <w:szCs w:val="24"/>
        </w:rPr>
        <w:t>Many people entering the eviction process already suffer from mental illness, substance abuse problems, and/or physical relationship problems such as domestic violence</w:t>
      </w:r>
      <w:bookmarkEnd w:id="0"/>
      <w:r w:rsidRPr="00F92330">
        <w:rPr>
          <w:rFonts w:cstheme="minorHAnsi"/>
          <w:sz w:val="24"/>
          <w:szCs w:val="24"/>
        </w:rPr>
        <w:t xml:space="preserve"> (</w:t>
      </w:r>
      <w:r w:rsidR="009A6F26" w:rsidRPr="00F92330">
        <w:rPr>
          <w:rFonts w:eastAsia="Times New Roman" w:cstheme="minorHAnsi"/>
          <w:color w:val="000000"/>
          <w:sz w:val="24"/>
          <w:szCs w:val="24"/>
        </w:rPr>
        <w:t>Holding et al, 2019</w:t>
      </w:r>
      <w:r w:rsidR="00E2323A" w:rsidRPr="00F92330">
        <w:rPr>
          <w:rFonts w:eastAsia="Times New Roman" w:cstheme="minorHAnsi"/>
          <w:color w:val="000000"/>
          <w:sz w:val="24"/>
          <w:szCs w:val="24"/>
        </w:rPr>
        <w:t xml:space="preserve">, </w:t>
      </w:r>
      <w:r w:rsidR="009A6F26" w:rsidRPr="00F92330">
        <w:rPr>
          <w:rFonts w:cstheme="minorHAnsi"/>
          <w:sz w:val="24"/>
          <w:szCs w:val="24"/>
        </w:rPr>
        <w:t>Singh et al, 2019</w:t>
      </w:r>
      <w:r w:rsidRPr="00F92330">
        <w:rPr>
          <w:rFonts w:cstheme="minorHAnsi"/>
          <w:sz w:val="24"/>
          <w:szCs w:val="24"/>
        </w:rPr>
        <w:t>). Each of these problems compounds on one another to create comorbidities (</w:t>
      </w:r>
      <w:r w:rsidR="00A445E8" w:rsidRPr="00F92330">
        <w:rPr>
          <w:rFonts w:eastAsia="Times New Roman" w:cstheme="minorHAnsi"/>
          <w:color w:val="000000"/>
          <w:sz w:val="24"/>
          <w:szCs w:val="24"/>
        </w:rPr>
        <w:t>Holding et al</w:t>
      </w:r>
      <w:r w:rsidR="009A6F26" w:rsidRPr="00F92330">
        <w:rPr>
          <w:rFonts w:eastAsia="Times New Roman" w:cstheme="minorHAnsi"/>
          <w:color w:val="000000"/>
          <w:sz w:val="24"/>
          <w:szCs w:val="24"/>
        </w:rPr>
        <w:t>, 2019</w:t>
      </w:r>
      <w:r w:rsidRPr="00F92330">
        <w:rPr>
          <w:rFonts w:cstheme="minorHAnsi"/>
          <w:sz w:val="24"/>
          <w:szCs w:val="24"/>
        </w:rPr>
        <w:t xml:space="preserve">). </w:t>
      </w:r>
      <w:r w:rsidR="003F3A3C" w:rsidRPr="00F92330">
        <w:rPr>
          <w:rFonts w:cstheme="minorHAnsi"/>
          <w:sz w:val="24"/>
          <w:szCs w:val="24"/>
        </w:rPr>
        <w:t>Researchers in mental health have noted that increases in depression and anxiety have become epidemic (</w:t>
      </w:r>
      <w:r w:rsidR="00757AF3" w:rsidRPr="00F92330">
        <w:rPr>
          <w:rFonts w:cstheme="minorHAnsi"/>
          <w:sz w:val="24"/>
          <w:szCs w:val="24"/>
        </w:rPr>
        <w:t>Miller, 2021</w:t>
      </w:r>
      <w:r w:rsidR="003F3A3C" w:rsidRPr="00F92330">
        <w:rPr>
          <w:rFonts w:cstheme="minorHAnsi"/>
          <w:sz w:val="24"/>
          <w:szCs w:val="24"/>
        </w:rPr>
        <w:t>). COVID 19 comes with its own long-term neurological effects that compound increasing rates of depression and anxiety (</w:t>
      </w:r>
      <w:proofErr w:type="spellStart"/>
      <w:r w:rsidR="00772212" w:rsidRPr="00F92330">
        <w:rPr>
          <w:rFonts w:cstheme="minorHAnsi"/>
          <w:sz w:val="24"/>
          <w:szCs w:val="24"/>
        </w:rPr>
        <w:t>Czeisler</w:t>
      </w:r>
      <w:proofErr w:type="spellEnd"/>
      <w:r w:rsidR="00772212" w:rsidRPr="00F92330">
        <w:rPr>
          <w:rFonts w:cstheme="minorHAnsi"/>
          <w:sz w:val="24"/>
          <w:szCs w:val="24"/>
        </w:rPr>
        <w:t xml:space="preserve"> MÉ et al, 2020</w:t>
      </w:r>
      <w:r w:rsidR="003F3A3C" w:rsidRPr="00F92330">
        <w:rPr>
          <w:rFonts w:cstheme="minorHAnsi"/>
          <w:sz w:val="24"/>
          <w:szCs w:val="24"/>
        </w:rPr>
        <w:t xml:space="preserve">). Research on the current COVID 19 </w:t>
      </w:r>
      <w:proofErr w:type="gramStart"/>
      <w:r w:rsidR="003F3A3C" w:rsidRPr="00F92330">
        <w:rPr>
          <w:rFonts w:cstheme="minorHAnsi"/>
          <w:sz w:val="24"/>
          <w:szCs w:val="24"/>
        </w:rPr>
        <w:t>pandemic</w:t>
      </w:r>
      <w:proofErr w:type="gramEnd"/>
      <w:r w:rsidR="003F3A3C" w:rsidRPr="00F92330">
        <w:rPr>
          <w:rFonts w:cstheme="minorHAnsi"/>
          <w:sz w:val="24"/>
          <w:szCs w:val="24"/>
        </w:rPr>
        <w:t>, as well as on the 2008 recession reveals that both incidents had traumatic effects on the population writ large (</w:t>
      </w:r>
      <w:r w:rsidR="00C53A93" w:rsidRPr="00F92330">
        <w:rPr>
          <w:rFonts w:cstheme="minorHAnsi"/>
          <w:sz w:val="24"/>
          <w:szCs w:val="24"/>
        </w:rPr>
        <w:t>Abrams</w:t>
      </w:r>
      <w:r w:rsidR="00772212" w:rsidRPr="00F92330">
        <w:rPr>
          <w:rFonts w:cstheme="minorHAnsi"/>
          <w:sz w:val="24"/>
          <w:szCs w:val="24"/>
        </w:rPr>
        <w:t>, 2020</w:t>
      </w:r>
      <w:r w:rsidR="00C53A93" w:rsidRPr="00F92330">
        <w:rPr>
          <w:rFonts w:cstheme="minorHAnsi"/>
          <w:sz w:val="24"/>
          <w:szCs w:val="24"/>
        </w:rPr>
        <w:t>; Tucker, 2021;</w:t>
      </w:r>
      <w:r w:rsidR="003F3A3C" w:rsidRPr="00F92330">
        <w:rPr>
          <w:rFonts w:cstheme="minorHAnsi"/>
          <w:sz w:val="24"/>
          <w:szCs w:val="24"/>
        </w:rPr>
        <w:t xml:space="preserve"> </w:t>
      </w:r>
      <w:proofErr w:type="spellStart"/>
      <w:r w:rsidR="00772212" w:rsidRPr="00F92330">
        <w:rPr>
          <w:rFonts w:cstheme="minorHAnsi"/>
          <w:sz w:val="24"/>
          <w:szCs w:val="24"/>
        </w:rPr>
        <w:t>Czeisler</w:t>
      </w:r>
      <w:proofErr w:type="spellEnd"/>
      <w:r w:rsidR="00772212" w:rsidRPr="00F92330">
        <w:rPr>
          <w:rFonts w:cstheme="minorHAnsi"/>
          <w:sz w:val="24"/>
          <w:szCs w:val="24"/>
        </w:rPr>
        <w:t xml:space="preserve"> MÉ et al, 2020</w:t>
      </w:r>
      <w:r w:rsidR="003F3A3C" w:rsidRPr="00F92330">
        <w:rPr>
          <w:rFonts w:cstheme="minorHAnsi"/>
          <w:sz w:val="24"/>
          <w:szCs w:val="24"/>
        </w:rPr>
        <w:t>). Modern research has revealed the broadly intersectional role that mental health plays on all policy spheres (</w:t>
      </w:r>
      <w:r w:rsidR="00772212" w:rsidRPr="00F92330">
        <w:rPr>
          <w:rFonts w:cstheme="minorHAnsi"/>
          <w:sz w:val="24"/>
          <w:szCs w:val="24"/>
        </w:rPr>
        <w:t>Tsai, 2017</w:t>
      </w:r>
      <w:r w:rsidR="003F3A3C" w:rsidRPr="00F92330">
        <w:rPr>
          <w:rFonts w:cstheme="minorHAnsi"/>
          <w:sz w:val="24"/>
          <w:szCs w:val="24"/>
        </w:rPr>
        <w:t>).</w:t>
      </w:r>
    </w:p>
    <w:p w14:paraId="6CB3BB65" w14:textId="345156AE" w:rsidR="001D418D" w:rsidRPr="00F92330" w:rsidRDefault="00F7519C" w:rsidP="008420E0">
      <w:pPr>
        <w:spacing w:after="120" w:line="240" w:lineRule="auto"/>
        <w:rPr>
          <w:rFonts w:cstheme="minorHAnsi"/>
          <w:sz w:val="24"/>
          <w:szCs w:val="24"/>
        </w:rPr>
      </w:pPr>
      <w:r w:rsidRPr="00F92330">
        <w:rPr>
          <w:rFonts w:cstheme="minorHAnsi"/>
          <w:sz w:val="24"/>
          <w:szCs w:val="24"/>
        </w:rPr>
        <w:lastRenderedPageBreak/>
        <w:t>In research on lasting effects from housing instability and eviction, respondents frequently report d</w:t>
      </w:r>
      <w:r w:rsidR="001D418D" w:rsidRPr="00F92330">
        <w:rPr>
          <w:rFonts w:cstheme="minorHAnsi"/>
          <w:sz w:val="24"/>
          <w:szCs w:val="24"/>
        </w:rPr>
        <w:t>epression, anxiety, and post-traumatic stress</w:t>
      </w:r>
      <w:r w:rsidRPr="00F92330">
        <w:rPr>
          <w:rFonts w:cstheme="minorHAnsi"/>
          <w:sz w:val="24"/>
          <w:szCs w:val="24"/>
        </w:rPr>
        <w:t xml:space="preserve"> disorder as components of housing instability</w:t>
      </w:r>
      <w:r w:rsidR="001D418D" w:rsidRPr="00F92330">
        <w:rPr>
          <w:rFonts w:cstheme="minorHAnsi"/>
          <w:sz w:val="24"/>
          <w:szCs w:val="24"/>
        </w:rPr>
        <w:t xml:space="preserve">. </w:t>
      </w:r>
      <w:r w:rsidRPr="00F92330">
        <w:rPr>
          <w:rFonts w:cstheme="minorHAnsi"/>
          <w:sz w:val="24"/>
          <w:szCs w:val="24"/>
        </w:rPr>
        <w:t>S</w:t>
      </w:r>
      <w:r w:rsidR="001D418D" w:rsidRPr="00F92330">
        <w:rPr>
          <w:rFonts w:cstheme="minorHAnsi"/>
          <w:sz w:val="24"/>
          <w:szCs w:val="24"/>
        </w:rPr>
        <w:t xml:space="preserve">imply entering the eviction or foreclosure process </w:t>
      </w:r>
      <w:r w:rsidR="00B572D4" w:rsidRPr="00F92330">
        <w:rPr>
          <w:rFonts w:cstheme="minorHAnsi"/>
          <w:sz w:val="24"/>
          <w:szCs w:val="24"/>
        </w:rPr>
        <w:t>almost always amplifies</w:t>
      </w:r>
      <w:r w:rsidR="001D418D" w:rsidRPr="00F92330">
        <w:rPr>
          <w:rFonts w:cstheme="minorHAnsi"/>
          <w:sz w:val="24"/>
          <w:szCs w:val="24"/>
        </w:rPr>
        <w:t xml:space="preserve"> these issues </w:t>
      </w:r>
      <w:r w:rsidR="001D418D" w:rsidRPr="00F92330">
        <w:rPr>
          <w:rFonts w:eastAsia="Times New Roman" w:cstheme="minorHAnsi"/>
          <w:color w:val="000000"/>
          <w:sz w:val="24"/>
          <w:szCs w:val="24"/>
        </w:rPr>
        <w:t>(</w:t>
      </w:r>
      <w:r w:rsidR="00F320D9" w:rsidRPr="00F92330">
        <w:rPr>
          <w:rFonts w:eastAsia="Times New Roman" w:cstheme="minorHAnsi"/>
          <w:color w:val="000000"/>
          <w:sz w:val="24"/>
          <w:szCs w:val="24"/>
        </w:rPr>
        <w:t>Ortega et al, 2017</w:t>
      </w:r>
      <w:r w:rsidR="000038AD" w:rsidRPr="00F92330">
        <w:rPr>
          <w:rFonts w:eastAsia="Times New Roman" w:cstheme="minorHAnsi"/>
          <w:color w:val="000000"/>
          <w:sz w:val="24"/>
          <w:szCs w:val="24"/>
        </w:rPr>
        <w:t>;</w:t>
      </w:r>
      <w:r w:rsidR="00E47532" w:rsidRPr="00F92330">
        <w:rPr>
          <w:rFonts w:eastAsia="Times New Roman" w:cstheme="minorHAnsi"/>
          <w:color w:val="000000"/>
          <w:sz w:val="24"/>
          <w:szCs w:val="24"/>
        </w:rPr>
        <w:t xml:space="preserve"> </w:t>
      </w:r>
      <w:r w:rsidR="00F320D9" w:rsidRPr="00F92330">
        <w:rPr>
          <w:rFonts w:eastAsia="Times New Roman" w:cstheme="minorHAnsi"/>
          <w:color w:val="000000"/>
          <w:sz w:val="24"/>
          <w:szCs w:val="24"/>
        </w:rPr>
        <w:t>Mateo-Rodríguez et al, 2019</w:t>
      </w:r>
      <w:r w:rsidR="001D418D" w:rsidRPr="00F92330">
        <w:rPr>
          <w:rFonts w:eastAsia="Times New Roman" w:cstheme="minorHAnsi"/>
          <w:color w:val="000000"/>
          <w:sz w:val="24"/>
          <w:szCs w:val="24"/>
        </w:rPr>
        <w:t>)</w:t>
      </w:r>
      <w:r w:rsidR="001D418D" w:rsidRPr="00F92330">
        <w:rPr>
          <w:rFonts w:cstheme="minorHAnsi"/>
          <w:sz w:val="24"/>
          <w:szCs w:val="24"/>
        </w:rPr>
        <w:t xml:space="preserve">. </w:t>
      </w:r>
      <w:r w:rsidR="00092D3B" w:rsidRPr="00F92330">
        <w:rPr>
          <w:rFonts w:cstheme="minorHAnsi"/>
          <w:sz w:val="24"/>
          <w:szCs w:val="24"/>
        </w:rPr>
        <w:t>The ultimate failure of service provision for people suffering from mental health disorders is suicide, and the research I review in this policy report reveals that</w:t>
      </w:r>
      <w:r w:rsidR="001D418D" w:rsidRPr="00F92330">
        <w:rPr>
          <w:rFonts w:cstheme="minorHAnsi"/>
          <w:sz w:val="24"/>
          <w:szCs w:val="24"/>
        </w:rPr>
        <w:t xml:space="preserve"> there is a statistically significant correlation between evictions and suicide</w:t>
      </w:r>
      <w:r w:rsidR="00092D3B" w:rsidRPr="00F92330">
        <w:rPr>
          <w:rFonts w:cstheme="minorHAnsi"/>
          <w:sz w:val="24"/>
          <w:szCs w:val="24"/>
        </w:rPr>
        <w:t xml:space="preserve"> when accounting for all other variables</w:t>
      </w:r>
      <w:r w:rsidR="001D418D" w:rsidRPr="00F92330">
        <w:rPr>
          <w:rFonts w:cstheme="minorHAnsi"/>
          <w:sz w:val="24"/>
          <w:szCs w:val="24"/>
        </w:rPr>
        <w:t xml:space="preserve"> </w:t>
      </w:r>
      <w:r w:rsidR="001D418D" w:rsidRPr="00F92330">
        <w:rPr>
          <w:rFonts w:eastAsia="Times New Roman" w:cstheme="minorHAnsi"/>
          <w:color w:val="000000"/>
          <w:sz w:val="24"/>
          <w:szCs w:val="24"/>
        </w:rPr>
        <w:t>(</w:t>
      </w:r>
      <w:r w:rsidR="003B090C" w:rsidRPr="00F92330">
        <w:rPr>
          <w:rFonts w:eastAsia="Times New Roman" w:cstheme="minorHAnsi"/>
          <w:color w:val="000000"/>
          <w:sz w:val="24"/>
          <w:szCs w:val="24"/>
        </w:rPr>
        <w:t>Rojas &amp; Stenberg, 2016</w:t>
      </w:r>
      <w:r w:rsidR="001D418D" w:rsidRPr="00F92330">
        <w:rPr>
          <w:rFonts w:eastAsia="Times New Roman" w:cstheme="minorHAnsi"/>
          <w:color w:val="000000"/>
          <w:sz w:val="24"/>
          <w:szCs w:val="24"/>
        </w:rPr>
        <w:t>)</w:t>
      </w:r>
      <w:r w:rsidR="001D418D" w:rsidRPr="00F92330">
        <w:rPr>
          <w:rFonts w:cstheme="minorHAnsi"/>
          <w:sz w:val="24"/>
          <w:szCs w:val="24"/>
        </w:rPr>
        <w:t>.</w:t>
      </w:r>
      <w:bookmarkStart w:id="1" w:name="_Hlk68601757"/>
      <w:r w:rsidR="003F3A3C" w:rsidRPr="00F92330">
        <w:rPr>
          <w:rFonts w:cstheme="minorHAnsi"/>
          <w:sz w:val="24"/>
          <w:szCs w:val="24"/>
        </w:rPr>
        <w:t xml:space="preserve"> </w:t>
      </w:r>
      <w:r w:rsidR="001D418D" w:rsidRPr="00F92330">
        <w:rPr>
          <w:rFonts w:cstheme="minorHAnsi"/>
          <w:sz w:val="24"/>
          <w:szCs w:val="24"/>
        </w:rPr>
        <w:t xml:space="preserve">The continued usage of eviction as a policy tool should </w:t>
      </w:r>
      <w:proofErr w:type="gramStart"/>
      <w:r w:rsidR="001D418D" w:rsidRPr="00F92330">
        <w:rPr>
          <w:rFonts w:cstheme="minorHAnsi"/>
          <w:sz w:val="24"/>
          <w:szCs w:val="24"/>
        </w:rPr>
        <w:t>be considered</w:t>
      </w:r>
      <w:proofErr w:type="gramEnd"/>
      <w:r w:rsidR="001D418D" w:rsidRPr="00F92330">
        <w:rPr>
          <w:rFonts w:cstheme="minorHAnsi"/>
          <w:sz w:val="24"/>
          <w:szCs w:val="24"/>
        </w:rPr>
        <w:t xml:space="preserve"> in this light. If the COVID 19 eviction moratorium does end in 2021, the impact of the “eviction cliff,” that many tenants will face, may constitute a major traumatic event, and the result may be a catastrophic rise in long-term mental health issues, as well as suicides</w:t>
      </w:r>
      <w:bookmarkEnd w:id="1"/>
      <w:r w:rsidR="001D418D" w:rsidRPr="00F92330">
        <w:rPr>
          <w:rFonts w:cstheme="minorHAnsi"/>
          <w:sz w:val="24"/>
          <w:szCs w:val="24"/>
        </w:rPr>
        <w:t xml:space="preserve"> (</w:t>
      </w:r>
      <w:r w:rsidR="00F320D9" w:rsidRPr="00F92330">
        <w:rPr>
          <w:rFonts w:eastAsia="Times New Roman" w:cstheme="minorHAnsi"/>
          <w:color w:val="000000"/>
          <w:sz w:val="24"/>
          <w:szCs w:val="24"/>
        </w:rPr>
        <w:t>Ortega et al, 2017</w:t>
      </w:r>
      <w:r w:rsidR="000038AD" w:rsidRPr="00F92330">
        <w:rPr>
          <w:rFonts w:cstheme="minorHAnsi"/>
          <w:sz w:val="24"/>
          <w:szCs w:val="24"/>
        </w:rPr>
        <w:t>;</w:t>
      </w:r>
      <w:r w:rsidR="00251F25" w:rsidRPr="00F92330">
        <w:rPr>
          <w:rFonts w:cstheme="minorHAnsi"/>
          <w:sz w:val="24"/>
          <w:szCs w:val="24"/>
        </w:rPr>
        <w:t xml:space="preserve"> </w:t>
      </w:r>
      <w:r w:rsidR="004F0F91" w:rsidRPr="00F92330">
        <w:rPr>
          <w:rFonts w:cstheme="minorHAnsi"/>
          <w:sz w:val="24"/>
          <w:szCs w:val="24"/>
        </w:rPr>
        <w:t>Tsai et al</w:t>
      </w:r>
      <w:r w:rsidR="00213711" w:rsidRPr="00F92330">
        <w:rPr>
          <w:rFonts w:cstheme="minorHAnsi"/>
          <w:sz w:val="24"/>
          <w:szCs w:val="24"/>
        </w:rPr>
        <w:t>, 2020</w:t>
      </w:r>
      <w:r w:rsidR="001D418D" w:rsidRPr="00F92330">
        <w:rPr>
          <w:rFonts w:cstheme="minorHAnsi"/>
          <w:sz w:val="24"/>
          <w:szCs w:val="24"/>
        </w:rPr>
        <w:t>).</w:t>
      </w:r>
    </w:p>
    <w:p w14:paraId="4628F964" w14:textId="38F656ED" w:rsidR="001D418D" w:rsidRPr="00F92330" w:rsidRDefault="001D418D" w:rsidP="008420E0">
      <w:pPr>
        <w:spacing w:after="120" w:line="240" w:lineRule="auto"/>
        <w:rPr>
          <w:rFonts w:cstheme="minorHAnsi"/>
          <w:sz w:val="24"/>
          <w:szCs w:val="24"/>
        </w:rPr>
      </w:pPr>
      <w:r w:rsidRPr="00F92330">
        <w:rPr>
          <w:rFonts w:cstheme="minorHAnsi"/>
          <w:sz w:val="24"/>
          <w:szCs w:val="24"/>
        </w:rPr>
        <w:t xml:space="preserve">This policy report examines the short and long-term mental health impacts on people who have experienced eviction and foreclosure processes. The report will review previous research on mental health conditions of tenants and homeowners during periods of housing instability before the eviction process has </w:t>
      </w:r>
      <w:proofErr w:type="gramStart"/>
      <w:r w:rsidRPr="00F92330">
        <w:rPr>
          <w:rFonts w:cstheme="minorHAnsi"/>
          <w:sz w:val="24"/>
          <w:szCs w:val="24"/>
        </w:rPr>
        <w:t>begun, and</w:t>
      </w:r>
      <w:proofErr w:type="gramEnd"/>
      <w:r w:rsidRPr="00F92330">
        <w:rPr>
          <w:rFonts w:cstheme="minorHAnsi"/>
          <w:sz w:val="24"/>
          <w:szCs w:val="24"/>
        </w:rPr>
        <w:t xml:space="preserve"> will then show how entering the eviction process adversely changes a person’s mental health status over time. This qualitative report mostly relies on previous research</w:t>
      </w:r>
      <w:r w:rsidR="00F1069A" w:rsidRPr="00F92330">
        <w:rPr>
          <w:rFonts w:cstheme="minorHAnsi"/>
          <w:sz w:val="24"/>
          <w:szCs w:val="24"/>
        </w:rPr>
        <w:t xml:space="preserve">, while also drawing on my own </w:t>
      </w:r>
      <w:r w:rsidRPr="00F92330">
        <w:rPr>
          <w:rFonts w:cstheme="minorHAnsi"/>
          <w:sz w:val="24"/>
          <w:szCs w:val="24"/>
        </w:rPr>
        <w:t>supplemental interviews with housing advocates.</w:t>
      </w:r>
    </w:p>
    <w:p w14:paraId="2CF45A27" w14:textId="533DE6FA" w:rsidR="001D418D" w:rsidRPr="00F92330" w:rsidRDefault="001D418D" w:rsidP="008420E0">
      <w:pPr>
        <w:spacing w:after="120" w:line="240" w:lineRule="auto"/>
        <w:rPr>
          <w:rFonts w:cstheme="minorHAnsi"/>
          <w:sz w:val="24"/>
          <w:szCs w:val="24"/>
        </w:rPr>
      </w:pPr>
      <w:r w:rsidRPr="00F92330">
        <w:rPr>
          <w:rFonts w:cstheme="minorHAnsi"/>
          <w:sz w:val="24"/>
          <w:szCs w:val="24"/>
        </w:rPr>
        <w:t xml:space="preserve">In this report, I will consider several alternatives that address the impact of housing instability and the eviction process on mental health. </w:t>
      </w:r>
      <w:r w:rsidR="00251F25" w:rsidRPr="00F92330">
        <w:rPr>
          <w:rFonts w:cstheme="minorHAnsi"/>
          <w:sz w:val="24"/>
          <w:szCs w:val="24"/>
        </w:rPr>
        <w:t>T</w:t>
      </w:r>
      <w:r w:rsidRPr="00F92330">
        <w:rPr>
          <w:rFonts w:cstheme="minorHAnsi"/>
          <w:sz w:val="24"/>
          <w:szCs w:val="24"/>
        </w:rPr>
        <w:t xml:space="preserve">he most effective </w:t>
      </w:r>
      <w:r w:rsidR="00251F25" w:rsidRPr="00F92330">
        <w:rPr>
          <w:rFonts w:cstheme="minorHAnsi"/>
          <w:sz w:val="24"/>
          <w:szCs w:val="24"/>
        </w:rPr>
        <w:t>alternative</w:t>
      </w:r>
      <w:r w:rsidRPr="00F92330">
        <w:rPr>
          <w:rFonts w:cstheme="minorHAnsi"/>
          <w:sz w:val="24"/>
          <w:szCs w:val="24"/>
        </w:rPr>
        <w:t xml:space="preserve"> is to continue expanding </w:t>
      </w:r>
      <w:r w:rsidR="004D3C5F" w:rsidRPr="00F92330">
        <w:rPr>
          <w:rFonts w:cstheme="minorHAnsi"/>
          <w:sz w:val="24"/>
          <w:szCs w:val="24"/>
        </w:rPr>
        <w:t>just-cause</w:t>
      </w:r>
      <w:r w:rsidRPr="00F92330">
        <w:rPr>
          <w:rFonts w:cstheme="minorHAnsi"/>
          <w:sz w:val="24"/>
          <w:szCs w:val="24"/>
        </w:rPr>
        <w:t xml:space="preserve"> eviction protections in California. </w:t>
      </w:r>
      <w:r w:rsidR="004D3C5F" w:rsidRPr="00F92330">
        <w:rPr>
          <w:rFonts w:cstheme="minorHAnsi"/>
          <w:sz w:val="24"/>
          <w:szCs w:val="24"/>
        </w:rPr>
        <w:t>Just-cause</w:t>
      </w:r>
      <w:r w:rsidRPr="00F92330">
        <w:rPr>
          <w:rFonts w:cstheme="minorHAnsi"/>
          <w:sz w:val="24"/>
          <w:szCs w:val="24"/>
        </w:rPr>
        <w:t xml:space="preserve"> eviction protections in California are already expansive in comparison to other states, but still do not provide enough protection to truly mitigate the traumatic impacts of eviction on an individual’s mental health. Continuing to expand </w:t>
      </w:r>
      <w:r w:rsidR="004D3C5F" w:rsidRPr="00F92330">
        <w:rPr>
          <w:rFonts w:cstheme="minorHAnsi"/>
          <w:sz w:val="24"/>
          <w:szCs w:val="24"/>
        </w:rPr>
        <w:t>just-cause</w:t>
      </w:r>
      <w:r w:rsidRPr="00F92330">
        <w:rPr>
          <w:rFonts w:cstheme="minorHAnsi"/>
          <w:sz w:val="24"/>
          <w:szCs w:val="24"/>
        </w:rPr>
        <w:t xml:space="preserve"> eviction protections specifically in the realm of protections for individuals facing mental health crises </w:t>
      </w:r>
      <w:r w:rsidR="00163B58" w:rsidRPr="00F92330">
        <w:rPr>
          <w:rFonts w:cstheme="minorHAnsi"/>
          <w:sz w:val="24"/>
          <w:szCs w:val="24"/>
        </w:rPr>
        <w:t>c</w:t>
      </w:r>
      <w:r w:rsidRPr="00F92330">
        <w:rPr>
          <w:rFonts w:cstheme="minorHAnsi"/>
          <w:sz w:val="24"/>
          <w:szCs w:val="24"/>
        </w:rPr>
        <w:t>ould outright eliminate the traumatic effect of eviction on mental health.</w:t>
      </w:r>
    </w:p>
    <w:p w14:paraId="121C4451" w14:textId="77777777" w:rsidR="000B1A2E" w:rsidRPr="00F92330" w:rsidRDefault="000B1A2E" w:rsidP="008420E0">
      <w:pPr>
        <w:spacing w:after="120" w:line="240" w:lineRule="auto"/>
        <w:rPr>
          <w:rFonts w:cstheme="minorHAnsi"/>
          <w:b/>
          <w:sz w:val="24"/>
          <w:szCs w:val="24"/>
        </w:rPr>
      </w:pPr>
    </w:p>
    <w:p w14:paraId="259CBC08" w14:textId="183DB382" w:rsidR="00986190" w:rsidRPr="00F92330" w:rsidRDefault="00986190" w:rsidP="008420E0">
      <w:pPr>
        <w:spacing w:after="120" w:line="240" w:lineRule="auto"/>
        <w:rPr>
          <w:rStyle w:val="IntenseEmphasis"/>
          <w:rFonts w:cstheme="minorHAnsi"/>
          <w:sz w:val="24"/>
          <w:szCs w:val="24"/>
        </w:rPr>
      </w:pPr>
      <w:r w:rsidRPr="00F92330">
        <w:rPr>
          <w:rStyle w:val="IntenseEmphasis"/>
          <w:rFonts w:cstheme="minorHAnsi"/>
          <w:sz w:val="24"/>
          <w:szCs w:val="24"/>
        </w:rPr>
        <w:t>Intended Audience</w:t>
      </w:r>
    </w:p>
    <w:p w14:paraId="015058A9" w14:textId="1DD8D6EE" w:rsidR="00FA3B09" w:rsidRPr="00F92330" w:rsidRDefault="001D418D" w:rsidP="008420E0">
      <w:pPr>
        <w:spacing w:after="120" w:line="240" w:lineRule="auto"/>
        <w:rPr>
          <w:rFonts w:cstheme="minorHAnsi"/>
          <w:sz w:val="24"/>
          <w:szCs w:val="24"/>
        </w:rPr>
      </w:pPr>
      <w:r w:rsidRPr="00F92330">
        <w:rPr>
          <w:rFonts w:cstheme="minorHAnsi"/>
          <w:sz w:val="24"/>
          <w:szCs w:val="24"/>
        </w:rPr>
        <w:t>The content of this report is pertinent to David Chiu’s office, representing East San Francisco in California District 17. Assembly</w:t>
      </w:r>
      <w:r w:rsidR="00986190" w:rsidRPr="00F92330">
        <w:rPr>
          <w:rFonts w:cstheme="minorHAnsi"/>
          <w:sz w:val="24"/>
          <w:szCs w:val="24"/>
        </w:rPr>
        <w:t xml:space="preserve"> Member</w:t>
      </w:r>
      <w:r w:rsidRPr="00F92330">
        <w:rPr>
          <w:rFonts w:cstheme="minorHAnsi"/>
          <w:sz w:val="24"/>
          <w:szCs w:val="24"/>
        </w:rPr>
        <w:t xml:space="preserve"> Chiu and his team have penned multiple bills centered around affordable housing and rent control that are relevant to the objectives of this study. Chiu’s office sent the </w:t>
      </w:r>
      <w:r w:rsidR="00F153A1" w:rsidRPr="00F92330">
        <w:rPr>
          <w:rFonts w:cstheme="minorHAnsi"/>
          <w:sz w:val="24"/>
          <w:szCs w:val="24"/>
        </w:rPr>
        <w:t>Tenant</w:t>
      </w:r>
      <w:r w:rsidRPr="00F92330">
        <w:rPr>
          <w:rFonts w:cstheme="minorHAnsi"/>
          <w:sz w:val="24"/>
          <w:szCs w:val="24"/>
        </w:rPr>
        <w:t xml:space="preserve"> Protection Act of 2019 to the governor, which establishes </w:t>
      </w:r>
      <w:r w:rsidR="004D3C5F" w:rsidRPr="00F92330">
        <w:rPr>
          <w:rFonts w:cstheme="minorHAnsi"/>
          <w:sz w:val="24"/>
          <w:szCs w:val="24"/>
        </w:rPr>
        <w:t>just-cause</w:t>
      </w:r>
      <w:r w:rsidRPr="00F92330">
        <w:rPr>
          <w:rFonts w:cstheme="minorHAnsi"/>
          <w:sz w:val="24"/>
          <w:szCs w:val="24"/>
        </w:rPr>
        <w:t xml:space="preserve"> protections for tenants facing eviction. As I referenced previously, during the ramp up of the COVID-19 pandemic, Chiu’s office also penned AB 3088, the eviction moratorium that ensures landlords cannot evict renters because of rental arrears accrued due to COVID-19 related loss of income if they pay at least 25% of their owed rent by January 31</w:t>
      </w:r>
      <w:r w:rsidRPr="00F92330">
        <w:rPr>
          <w:rFonts w:cstheme="minorHAnsi"/>
          <w:sz w:val="24"/>
          <w:szCs w:val="24"/>
          <w:vertAlign w:val="superscript"/>
        </w:rPr>
        <w:t>st</w:t>
      </w:r>
      <w:r w:rsidRPr="00F92330">
        <w:rPr>
          <w:rFonts w:cstheme="minorHAnsi"/>
          <w:sz w:val="24"/>
          <w:szCs w:val="24"/>
        </w:rPr>
        <w:t>, 2021. Governor Newsom signed all three bill</w:t>
      </w:r>
      <w:r w:rsidR="00E63AEA">
        <w:rPr>
          <w:rFonts w:cstheme="minorHAnsi"/>
          <w:sz w:val="24"/>
          <w:szCs w:val="24"/>
        </w:rPr>
        <w:t>s</w:t>
      </w:r>
      <w:r w:rsidRPr="00F92330">
        <w:rPr>
          <w:rFonts w:cstheme="minorHAnsi"/>
          <w:sz w:val="24"/>
          <w:szCs w:val="24"/>
        </w:rPr>
        <w:t xml:space="preserve"> and has extended the eviction moratorium until June 30</w:t>
      </w:r>
      <w:r w:rsidRPr="00F92330">
        <w:rPr>
          <w:rFonts w:cstheme="minorHAnsi"/>
          <w:sz w:val="24"/>
          <w:szCs w:val="24"/>
          <w:vertAlign w:val="superscript"/>
        </w:rPr>
        <w:t>th</w:t>
      </w:r>
      <w:r w:rsidRPr="00F92330">
        <w:rPr>
          <w:rFonts w:cstheme="minorHAnsi"/>
          <w:sz w:val="24"/>
          <w:szCs w:val="24"/>
        </w:rPr>
        <w:t>, 2021.</w:t>
      </w:r>
    </w:p>
    <w:p w14:paraId="62691B95" w14:textId="7BE5261F" w:rsidR="00986190" w:rsidRPr="00F92330" w:rsidRDefault="001D418D" w:rsidP="008420E0">
      <w:pPr>
        <w:spacing w:after="120" w:line="240" w:lineRule="auto"/>
        <w:rPr>
          <w:rFonts w:cstheme="minorHAnsi"/>
          <w:sz w:val="24"/>
          <w:szCs w:val="24"/>
        </w:rPr>
      </w:pPr>
      <w:r w:rsidRPr="00F92330">
        <w:rPr>
          <w:rFonts w:cstheme="minorHAnsi"/>
          <w:sz w:val="24"/>
          <w:szCs w:val="24"/>
        </w:rPr>
        <w:t xml:space="preserve">Additionally, the content of this policy report will be relevant to housing committees in both the California Assembly and Senate, housing advocates such as </w:t>
      </w:r>
      <w:r w:rsidR="00E2323A" w:rsidRPr="00F92330">
        <w:rPr>
          <w:rFonts w:cstheme="minorHAnsi"/>
          <w:sz w:val="24"/>
          <w:szCs w:val="24"/>
        </w:rPr>
        <w:t>Alliance of Californians for Community Empowerment (ACCE)</w:t>
      </w:r>
      <w:r w:rsidRPr="00F92330">
        <w:rPr>
          <w:rFonts w:cstheme="minorHAnsi"/>
          <w:sz w:val="24"/>
          <w:szCs w:val="24"/>
        </w:rPr>
        <w:t xml:space="preserve">, </w:t>
      </w:r>
      <w:r w:rsidR="00E2323A" w:rsidRPr="00F92330">
        <w:rPr>
          <w:rFonts w:cstheme="minorHAnsi"/>
          <w:sz w:val="24"/>
          <w:szCs w:val="24"/>
        </w:rPr>
        <w:t xml:space="preserve">Tenants Together, California Apartment Association, and </w:t>
      </w:r>
      <w:r w:rsidR="00E2323A" w:rsidRPr="00F92330">
        <w:rPr>
          <w:rFonts w:cstheme="minorHAnsi"/>
          <w:sz w:val="24"/>
          <w:szCs w:val="24"/>
        </w:rPr>
        <w:lastRenderedPageBreak/>
        <w:t>the California Tenants Association. State departments such as California’s</w:t>
      </w:r>
      <w:r w:rsidRPr="00F92330">
        <w:rPr>
          <w:rFonts w:cstheme="minorHAnsi"/>
          <w:sz w:val="24"/>
          <w:szCs w:val="24"/>
        </w:rPr>
        <w:t xml:space="preserve"> Department of Housing and Community Development</w:t>
      </w:r>
      <w:r w:rsidR="00E2323A" w:rsidRPr="00F92330">
        <w:rPr>
          <w:rFonts w:cstheme="minorHAnsi"/>
          <w:sz w:val="24"/>
          <w:szCs w:val="24"/>
        </w:rPr>
        <w:t>, Department of Social Services</w:t>
      </w:r>
      <w:r w:rsidR="0041170F" w:rsidRPr="00F92330">
        <w:rPr>
          <w:rFonts w:cstheme="minorHAnsi"/>
          <w:sz w:val="24"/>
          <w:szCs w:val="24"/>
        </w:rPr>
        <w:t>,</w:t>
      </w:r>
      <w:r w:rsidR="00E2323A" w:rsidRPr="00F92330">
        <w:rPr>
          <w:rFonts w:cstheme="minorHAnsi"/>
          <w:sz w:val="24"/>
          <w:szCs w:val="24"/>
        </w:rPr>
        <w:t xml:space="preserve"> Department of Public Health</w:t>
      </w:r>
      <w:r w:rsidR="0041170F" w:rsidRPr="00F92330">
        <w:rPr>
          <w:rFonts w:cstheme="minorHAnsi"/>
          <w:sz w:val="24"/>
          <w:szCs w:val="24"/>
        </w:rPr>
        <w:t>, and law enforcement divisions responsible for enforcing eviction protocols should also have an interest in the results of this report. Lastly,</w:t>
      </w:r>
      <w:r w:rsidRPr="00F92330">
        <w:rPr>
          <w:rFonts w:cstheme="minorHAnsi"/>
          <w:sz w:val="24"/>
          <w:szCs w:val="24"/>
        </w:rPr>
        <w:t xml:space="preserve"> </w:t>
      </w:r>
      <w:r w:rsidR="00986190" w:rsidRPr="00F92330">
        <w:rPr>
          <w:rFonts w:cstheme="minorHAnsi"/>
          <w:sz w:val="24"/>
          <w:szCs w:val="24"/>
        </w:rPr>
        <w:t>the report</w:t>
      </w:r>
      <w:r w:rsidR="0041170F" w:rsidRPr="00F92330">
        <w:rPr>
          <w:rFonts w:cstheme="minorHAnsi"/>
          <w:sz w:val="24"/>
          <w:szCs w:val="24"/>
        </w:rPr>
        <w:t xml:space="preserve"> will contain important information for consideration by </w:t>
      </w:r>
      <w:r w:rsidRPr="00F92330">
        <w:rPr>
          <w:rFonts w:cstheme="minorHAnsi"/>
          <w:sz w:val="24"/>
          <w:szCs w:val="24"/>
        </w:rPr>
        <w:t>mental health services providers such as</w:t>
      </w:r>
      <w:r w:rsidR="0041170F" w:rsidRPr="00F92330">
        <w:rPr>
          <w:rFonts w:cstheme="minorHAnsi"/>
          <w:sz w:val="24"/>
          <w:szCs w:val="24"/>
        </w:rPr>
        <w:t xml:space="preserve"> California Coalition for Mental Health, Youth and Family Collective. </w:t>
      </w:r>
    </w:p>
    <w:p w14:paraId="1DBBF3FF" w14:textId="5DA5267A" w:rsidR="001D418D" w:rsidRPr="00F92330" w:rsidRDefault="001D418D" w:rsidP="008420E0">
      <w:pPr>
        <w:spacing w:after="120" w:line="240" w:lineRule="auto"/>
        <w:rPr>
          <w:rFonts w:cstheme="minorHAnsi"/>
          <w:sz w:val="24"/>
          <w:szCs w:val="24"/>
        </w:rPr>
      </w:pPr>
      <w:r w:rsidRPr="00F92330">
        <w:rPr>
          <w:rFonts w:cstheme="minorHAnsi"/>
          <w:sz w:val="24"/>
          <w:szCs w:val="24"/>
        </w:rPr>
        <w:t>This report’s objective is to persuade organizations involved in the processes of housing and eviction to reduce the instance of eviction as a traumatic event to reduce resultant suicides, trauma related disorders, depression, and anxiety.</w:t>
      </w:r>
      <w:r w:rsidR="008621CC" w:rsidRPr="00F92330">
        <w:rPr>
          <w:rFonts w:cstheme="minorHAnsi"/>
          <w:sz w:val="24"/>
          <w:szCs w:val="24"/>
        </w:rPr>
        <w:t xml:space="preserve"> </w:t>
      </w:r>
      <w:r w:rsidRPr="00F92330">
        <w:rPr>
          <w:rFonts w:cstheme="minorHAnsi"/>
          <w:sz w:val="24"/>
          <w:szCs w:val="24"/>
        </w:rPr>
        <w:t xml:space="preserve">Organizations that use this policy report to influence their policies should use this information in considering how to approach housing affordability issues, housing stability issues, and eviction procedures from a lens of protection for individuals encountering mental health disorders during or before the eviction process. </w:t>
      </w:r>
    </w:p>
    <w:p w14:paraId="65A7D3EC" w14:textId="77777777" w:rsidR="00022459" w:rsidRPr="00F92330" w:rsidRDefault="00022459" w:rsidP="008420E0">
      <w:pPr>
        <w:spacing w:after="120" w:line="240" w:lineRule="auto"/>
        <w:rPr>
          <w:rFonts w:cstheme="minorHAnsi"/>
          <w:i/>
          <w:iCs/>
          <w:sz w:val="24"/>
          <w:szCs w:val="24"/>
        </w:rPr>
      </w:pPr>
    </w:p>
    <w:p w14:paraId="58317F61" w14:textId="173BA14D" w:rsidR="001504FB" w:rsidRPr="00F92330" w:rsidRDefault="00FA3B09" w:rsidP="008420E0">
      <w:pPr>
        <w:spacing w:after="120" w:line="240" w:lineRule="auto"/>
        <w:rPr>
          <w:rStyle w:val="IntenseEmphasis"/>
          <w:rFonts w:cstheme="minorHAnsi"/>
          <w:sz w:val="24"/>
          <w:szCs w:val="24"/>
        </w:rPr>
      </w:pPr>
      <w:r w:rsidRPr="00F92330">
        <w:rPr>
          <w:rStyle w:val="IntenseEmphasis"/>
          <w:rFonts w:cstheme="minorHAnsi"/>
          <w:sz w:val="24"/>
          <w:szCs w:val="24"/>
        </w:rPr>
        <w:t>Research &amp; Data</w:t>
      </w:r>
    </w:p>
    <w:p w14:paraId="5141F5F4" w14:textId="0E4C70FB" w:rsidR="00FA3B09" w:rsidRPr="00F92330" w:rsidRDefault="00FA3B09" w:rsidP="008420E0">
      <w:pPr>
        <w:spacing w:after="120" w:line="240" w:lineRule="auto"/>
        <w:rPr>
          <w:rFonts w:cstheme="minorHAnsi"/>
          <w:sz w:val="24"/>
          <w:szCs w:val="24"/>
        </w:rPr>
      </w:pPr>
      <w:r w:rsidRPr="00F92330">
        <w:rPr>
          <w:rFonts w:cstheme="minorHAnsi"/>
          <w:sz w:val="24"/>
          <w:szCs w:val="24"/>
        </w:rPr>
        <w:t>I reviewed a variety of research sources for the information I use in this report. I use several systematic reviews of papers focusing on evictions, housing stability, and eviction intervention. Qualitative research I reviewed consists of interviews, self-reporting around housing instability issues and causes of homelessness, and perceptions regarding trauma, depression</w:t>
      </w:r>
      <w:r w:rsidR="0095643F">
        <w:rPr>
          <w:rFonts w:cstheme="minorHAnsi"/>
          <w:sz w:val="24"/>
          <w:szCs w:val="24"/>
        </w:rPr>
        <w:t>,</w:t>
      </w:r>
      <w:r w:rsidRPr="00F92330">
        <w:rPr>
          <w:rFonts w:cstheme="minorHAnsi"/>
          <w:sz w:val="24"/>
          <w:szCs w:val="24"/>
        </w:rPr>
        <w:t xml:space="preserve"> and anxiety. Quantitative research I reviewed consist</w:t>
      </w:r>
      <w:r w:rsidR="00022459" w:rsidRPr="00F92330">
        <w:rPr>
          <w:rFonts w:cstheme="minorHAnsi"/>
          <w:sz w:val="24"/>
          <w:szCs w:val="24"/>
        </w:rPr>
        <w:t>s of tw</w:t>
      </w:r>
      <w:r w:rsidR="00F153A1" w:rsidRPr="00F92330">
        <w:rPr>
          <w:rFonts w:cstheme="minorHAnsi"/>
          <w:sz w:val="24"/>
          <w:szCs w:val="24"/>
        </w:rPr>
        <w:t>o</w:t>
      </w:r>
      <w:r w:rsidR="00022459" w:rsidRPr="00F92330">
        <w:rPr>
          <w:rFonts w:cstheme="minorHAnsi"/>
          <w:sz w:val="24"/>
          <w:szCs w:val="24"/>
        </w:rPr>
        <w:t xml:space="preserve"> regression studies that isolate the connection between eviction and suicide.</w:t>
      </w:r>
      <w:r w:rsidRPr="00F92330">
        <w:rPr>
          <w:rFonts w:cstheme="minorHAnsi"/>
          <w:sz w:val="24"/>
          <w:szCs w:val="24"/>
        </w:rPr>
        <w:t xml:space="preserve"> I gathered research from sources in the U.S., as well as sources abroad, primarily from Nordic European countries with stronger housing regulations. Lastly, I conducted interviews of five practitioners</w:t>
      </w:r>
      <w:r w:rsidR="00F1069A" w:rsidRPr="00F92330">
        <w:rPr>
          <w:rFonts w:cstheme="minorHAnsi"/>
          <w:sz w:val="24"/>
          <w:szCs w:val="24"/>
        </w:rPr>
        <w:t>. I discuss the details about the interviews and themes that emerged from them in a subsequent section of the report.</w:t>
      </w:r>
    </w:p>
    <w:p w14:paraId="6021CC96" w14:textId="0BB28FCE" w:rsidR="00FA3B09" w:rsidRPr="00F92330" w:rsidRDefault="00FA3B09" w:rsidP="008420E0">
      <w:pPr>
        <w:spacing w:after="120" w:line="240" w:lineRule="auto"/>
        <w:rPr>
          <w:rFonts w:cstheme="minorHAnsi"/>
          <w:sz w:val="24"/>
          <w:szCs w:val="24"/>
        </w:rPr>
      </w:pPr>
    </w:p>
    <w:p w14:paraId="2F2CC77F" w14:textId="787133E1" w:rsidR="005D6350" w:rsidRPr="00F92330" w:rsidRDefault="005D6350" w:rsidP="008420E0">
      <w:pPr>
        <w:spacing w:after="120" w:line="240" w:lineRule="auto"/>
        <w:rPr>
          <w:rStyle w:val="IntenseReference"/>
          <w:rFonts w:cstheme="minorHAnsi"/>
          <w:sz w:val="24"/>
          <w:szCs w:val="24"/>
        </w:rPr>
      </w:pPr>
      <w:r w:rsidRPr="00F92330">
        <w:rPr>
          <w:rStyle w:val="IntenseReference"/>
          <w:rFonts w:cstheme="minorHAnsi"/>
          <w:sz w:val="24"/>
          <w:szCs w:val="24"/>
        </w:rPr>
        <w:t>Background</w:t>
      </w:r>
    </w:p>
    <w:p w14:paraId="086550FF" w14:textId="2AF4DFB3" w:rsidR="005D6350" w:rsidRPr="00F92330" w:rsidRDefault="005D6350" w:rsidP="008420E0">
      <w:pPr>
        <w:spacing w:after="120" w:line="240" w:lineRule="auto"/>
        <w:rPr>
          <w:rFonts w:cstheme="minorHAnsi"/>
          <w:sz w:val="24"/>
          <w:szCs w:val="24"/>
        </w:rPr>
      </w:pPr>
      <w:r w:rsidRPr="00F92330">
        <w:rPr>
          <w:rFonts w:cstheme="minorHAnsi"/>
          <w:sz w:val="24"/>
          <w:szCs w:val="24"/>
        </w:rPr>
        <w:t>The U.S. is experiencing a housing crisis. Rents are increasing in all major urban centers</w:t>
      </w:r>
      <w:r w:rsidR="00D205DC" w:rsidRPr="00F92330">
        <w:rPr>
          <w:rFonts w:cstheme="minorHAnsi"/>
          <w:sz w:val="24"/>
          <w:szCs w:val="24"/>
        </w:rPr>
        <w:t xml:space="preserve"> and</w:t>
      </w:r>
      <w:r w:rsidRPr="00F92330">
        <w:rPr>
          <w:rFonts w:cstheme="minorHAnsi"/>
          <w:sz w:val="24"/>
          <w:szCs w:val="24"/>
        </w:rPr>
        <w:t xml:space="preserve"> housing availability has decreased</w:t>
      </w:r>
      <w:r w:rsidR="00D205DC" w:rsidRPr="00F92330">
        <w:rPr>
          <w:rFonts w:cstheme="minorHAnsi"/>
          <w:sz w:val="24"/>
          <w:szCs w:val="24"/>
        </w:rPr>
        <w:t>.</w:t>
      </w:r>
      <w:r w:rsidRPr="00F92330">
        <w:rPr>
          <w:rFonts w:cstheme="minorHAnsi"/>
          <w:sz w:val="24"/>
          <w:szCs w:val="24"/>
        </w:rPr>
        <w:t xml:space="preserve"> </w:t>
      </w:r>
      <w:bookmarkStart w:id="2" w:name="_Hlk68602896"/>
      <w:r w:rsidR="00D205DC" w:rsidRPr="00F92330">
        <w:rPr>
          <w:rFonts w:cstheme="minorHAnsi"/>
          <w:sz w:val="24"/>
          <w:szCs w:val="24"/>
        </w:rPr>
        <w:t>T</w:t>
      </w:r>
      <w:r w:rsidR="001F7CDE" w:rsidRPr="00F92330">
        <w:rPr>
          <w:rFonts w:cstheme="minorHAnsi"/>
          <w:sz w:val="24"/>
          <w:szCs w:val="24"/>
        </w:rPr>
        <w:t xml:space="preserve">his </w:t>
      </w:r>
      <w:r w:rsidR="00D205DC" w:rsidRPr="00F92330">
        <w:rPr>
          <w:rFonts w:cstheme="minorHAnsi"/>
          <w:sz w:val="24"/>
          <w:szCs w:val="24"/>
        </w:rPr>
        <w:t>trend has</w:t>
      </w:r>
      <w:r w:rsidR="001F7CDE" w:rsidRPr="00F92330">
        <w:rPr>
          <w:rFonts w:cstheme="minorHAnsi"/>
          <w:sz w:val="24"/>
          <w:szCs w:val="24"/>
        </w:rPr>
        <w:t xml:space="preserve"> led to increased pressure from equity firms on property management companies</w:t>
      </w:r>
      <w:r w:rsidR="00B77D91" w:rsidRPr="00F92330">
        <w:rPr>
          <w:rFonts w:cstheme="minorHAnsi"/>
          <w:sz w:val="24"/>
          <w:szCs w:val="24"/>
        </w:rPr>
        <w:t xml:space="preserve"> and subsidiary landlords</w:t>
      </w:r>
      <w:r w:rsidR="001F7CDE" w:rsidRPr="00F92330">
        <w:rPr>
          <w:rFonts w:cstheme="minorHAnsi"/>
          <w:sz w:val="24"/>
          <w:szCs w:val="24"/>
        </w:rPr>
        <w:t xml:space="preserve"> to pursue more aggressive eviction and replacement policies regarding tenants (</w:t>
      </w:r>
      <w:r w:rsidR="004F0F91" w:rsidRPr="00F92330">
        <w:rPr>
          <w:rFonts w:cstheme="minorHAnsi"/>
          <w:sz w:val="24"/>
          <w:szCs w:val="24"/>
        </w:rPr>
        <w:t>Ortega et al</w:t>
      </w:r>
      <w:r w:rsidR="00F320D9" w:rsidRPr="00F92330">
        <w:rPr>
          <w:rFonts w:cstheme="minorHAnsi"/>
          <w:sz w:val="24"/>
          <w:szCs w:val="24"/>
        </w:rPr>
        <w:t>, 2017</w:t>
      </w:r>
      <w:r w:rsidR="001F7CDE" w:rsidRPr="00F92330">
        <w:rPr>
          <w:rFonts w:cstheme="minorHAnsi"/>
          <w:sz w:val="24"/>
          <w:szCs w:val="24"/>
        </w:rPr>
        <w:t xml:space="preserve">). </w:t>
      </w:r>
      <w:r w:rsidR="00A25B7E" w:rsidRPr="00F92330">
        <w:rPr>
          <w:rFonts w:cstheme="minorHAnsi"/>
          <w:sz w:val="24"/>
          <w:szCs w:val="24"/>
        </w:rPr>
        <w:t>The dynamic between corporate owned property companies and individual landlords is distinct.</w:t>
      </w:r>
      <w:r w:rsidR="008F687A" w:rsidRPr="00F92330">
        <w:rPr>
          <w:rFonts w:cstheme="minorHAnsi"/>
          <w:sz w:val="24"/>
          <w:szCs w:val="24"/>
        </w:rPr>
        <w:t xml:space="preserve"> </w:t>
      </w:r>
      <w:r w:rsidR="00D205DC" w:rsidRPr="00F92330">
        <w:rPr>
          <w:rFonts w:cstheme="minorHAnsi"/>
          <w:sz w:val="24"/>
          <w:szCs w:val="24"/>
        </w:rPr>
        <w:t xml:space="preserve">In this environment </w:t>
      </w:r>
      <w:r w:rsidR="004A2212" w:rsidRPr="00F92330">
        <w:rPr>
          <w:rFonts w:cstheme="minorHAnsi"/>
          <w:sz w:val="24"/>
          <w:szCs w:val="24"/>
        </w:rPr>
        <w:t xml:space="preserve">banks put greater pressure under homeowners with foreclosure orders, and </w:t>
      </w:r>
      <w:r w:rsidR="008F687A" w:rsidRPr="00F92330">
        <w:rPr>
          <w:rFonts w:cstheme="minorHAnsi"/>
          <w:sz w:val="24"/>
          <w:szCs w:val="24"/>
        </w:rPr>
        <w:t xml:space="preserve">corporate </w:t>
      </w:r>
      <w:r w:rsidR="008F015D" w:rsidRPr="00F92330">
        <w:rPr>
          <w:rFonts w:cstheme="minorHAnsi"/>
          <w:sz w:val="24"/>
          <w:szCs w:val="24"/>
        </w:rPr>
        <w:t xml:space="preserve">landlords put </w:t>
      </w:r>
      <w:r w:rsidR="00D205DC" w:rsidRPr="00F92330">
        <w:rPr>
          <w:rFonts w:cstheme="minorHAnsi"/>
          <w:sz w:val="24"/>
          <w:szCs w:val="24"/>
        </w:rPr>
        <w:t>greater</w:t>
      </w:r>
      <w:r w:rsidR="008F015D" w:rsidRPr="00F92330">
        <w:rPr>
          <w:rFonts w:cstheme="minorHAnsi"/>
          <w:sz w:val="24"/>
          <w:szCs w:val="24"/>
        </w:rPr>
        <w:t xml:space="preserve"> pressure on lower rent tenants to move out, or </w:t>
      </w:r>
      <w:r w:rsidR="00FF105B" w:rsidRPr="00F92330">
        <w:rPr>
          <w:rFonts w:cstheme="minorHAnsi"/>
          <w:sz w:val="24"/>
          <w:szCs w:val="24"/>
        </w:rPr>
        <w:t xml:space="preserve">landlords choose to </w:t>
      </w:r>
      <w:r w:rsidR="008F015D" w:rsidRPr="00F92330">
        <w:rPr>
          <w:rFonts w:cstheme="minorHAnsi"/>
          <w:sz w:val="24"/>
          <w:szCs w:val="24"/>
        </w:rPr>
        <w:t xml:space="preserve">shoulder the high costs of “no-cause” eviction to </w:t>
      </w:r>
      <w:r w:rsidRPr="00F92330">
        <w:rPr>
          <w:rFonts w:cstheme="minorHAnsi"/>
          <w:sz w:val="24"/>
          <w:szCs w:val="24"/>
        </w:rPr>
        <w:t xml:space="preserve">renovate properties </w:t>
      </w:r>
      <w:r w:rsidR="008F015D" w:rsidRPr="00F92330">
        <w:rPr>
          <w:rFonts w:cstheme="minorHAnsi"/>
          <w:sz w:val="24"/>
          <w:szCs w:val="24"/>
        </w:rPr>
        <w:t>for wealthier clientele that can keep up with increasing market rates</w:t>
      </w:r>
      <w:r w:rsidRPr="00F92330">
        <w:rPr>
          <w:rFonts w:cstheme="minorHAnsi"/>
          <w:sz w:val="24"/>
          <w:szCs w:val="24"/>
        </w:rPr>
        <w:t xml:space="preserve"> </w:t>
      </w:r>
      <w:bookmarkEnd w:id="2"/>
      <w:r w:rsidRPr="00F92330">
        <w:rPr>
          <w:rFonts w:cstheme="minorHAnsi"/>
          <w:sz w:val="24"/>
          <w:szCs w:val="24"/>
        </w:rPr>
        <w:t>(</w:t>
      </w:r>
      <w:r w:rsidR="00772212" w:rsidRPr="00F92330">
        <w:rPr>
          <w:rFonts w:cstheme="minorHAnsi"/>
          <w:sz w:val="24"/>
          <w:szCs w:val="24"/>
        </w:rPr>
        <w:t>California Tenant Law, 2020</w:t>
      </w:r>
      <w:r w:rsidR="000172D7">
        <w:rPr>
          <w:rFonts w:cstheme="minorHAnsi"/>
          <w:sz w:val="24"/>
          <w:szCs w:val="24"/>
        </w:rPr>
        <w:t>;</w:t>
      </w:r>
      <w:r w:rsidR="00500430" w:rsidRPr="00F92330">
        <w:rPr>
          <w:rFonts w:cstheme="minorHAnsi"/>
          <w:sz w:val="24"/>
          <w:szCs w:val="24"/>
        </w:rPr>
        <w:t xml:space="preserve"> </w:t>
      </w:r>
      <w:r w:rsidR="00772212" w:rsidRPr="00F92330">
        <w:rPr>
          <w:rFonts w:cstheme="minorHAnsi"/>
          <w:sz w:val="24"/>
          <w:szCs w:val="24"/>
        </w:rPr>
        <w:t>Khouri, 2018</w:t>
      </w:r>
      <w:r w:rsidR="00FA5260" w:rsidRPr="00F92330">
        <w:rPr>
          <w:rFonts w:cstheme="minorHAnsi"/>
          <w:sz w:val="24"/>
          <w:szCs w:val="24"/>
        </w:rPr>
        <w:t>; Samuels, 2019</w:t>
      </w:r>
      <w:r w:rsidRPr="00F92330">
        <w:rPr>
          <w:rFonts w:cstheme="minorHAnsi"/>
          <w:sz w:val="24"/>
          <w:szCs w:val="24"/>
        </w:rPr>
        <w:t>). With limited costly alternatives for evicted tenants, these decisions have cascade effects on both the mental health and material wellbeing of renters and former homeowners (</w:t>
      </w:r>
      <w:r w:rsidR="009D6590" w:rsidRPr="00F92330">
        <w:rPr>
          <w:rFonts w:eastAsia="Times New Roman" w:cstheme="minorHAnsi"/>
          <w:color w:val="000000"/>
          <w:sz w:val="24"/>
          <w:szCs w:val="24"/>
        </w:rPr>
        <w:t>Phinney et al, 2007</w:t>
      </w:r>
      <w:r w:rsidRPr="00F92330">
        <w:rPr>
          <w:rFonts w:cstheme="minorHAnsi"/>
          <w:sz w:val="24"/>
          <w:szCs w:val="24"/>
        </w:rPr>
        <w:t>).</w:t>
      </w:r>
    </w:p>
    <w:p w14:paraId="5DD56027" w14:textId="2596FD24" w:rsidR="00E502B8" w:rsidRPr="00F92330" w:rsidRDefault="00E502B8" w:rsidP="008420E0">
      <w:pPr>
        <w:spacing w:after="120" w:line="240" w:lineRule="auto"/>
        <w:rPr>
          <w:rFonts w:cstheme="minorHAnsi"/>
          <w:sz w:val="24"/>
          <w:szCs w:val="24"/>
        </w:rPr>
      </w:pPr>
      <w:bookmarkStart w:id="3" w:name="_Hlk68600913"/>
      <w:r w:rsidRPr="00F92330">
        <w:rPr>
          <w:rFonts w:cstheme="minorHAnsi"/>
          <w:sz w:val="24"/>
          <w:szCs w:val="24"/>
        </w:rPr>
        <w:t xml:space="preserve">While individual landlords tend to maintain complex relationships with tenants that may include more negotiation with the tenant in the process of renting and eviction, property management companies have trended toward transactional relationships in which they treat </w:t>
      </w:r>
      <w:r w:rsidRPr="00F92330">
        <w:rPr>
          <w:rFonts w:cstheme="minorHAnsi"/>
          <w:sz w:val="24"/>
          <w:szCs w:val="24"/>
        </w:rPr>
        <w:lastRenderedPageBreak/>
        <w:t>tenants like commodities (Khouri, 2018; Levin, 2019; Levin, 2021; Desmond, 2018).</w:t>
      </w:r>
      <w:r w:rsidR="00FA5260" w:rsidRPr="00F92330">
        <w:rPr>
          <w:rFonts w:cstheme="minorHAnsi"/>
          <w:sz w:val="24"/>
          <w:szCs w:val="24"/>
        </w:rPr>
        <w:t xml:space="preserve"> The prevalence of “mom &amp; pop” landlords in the market has dwindled, and much of their influence has </w:t>
      </w:r>
      <w:proofErr w:type="gramStart"/>
      <w:r w:rsidR="00FA5260" w:rsidRPr="00F92330">
        <w:rPr>
          <w:rFonts w:cstheme="minorHAnsi"/>
          <w:sz w:val="24"/>
          <w:szCs w:val="24"/>
        </w:rPr>
        <w:t>been replaced</w:t>
      </w:r>
      <w:proofErr w:type="gramEnd"/>
      <w:r w:rsidR="00FA5260" w:rsidRPr="00F92330">
        <w:rPr>
          <w:rFonts w:cstheme="minorHAnsi"/>
          <w:sz w:val="24"/>
          <w:szCs w:val="24"/>
        </w:rPr>
        <w:t xml:space="preserve"> by these property management companies (Choi &amp; Goodman, 2020).</w:t>
      </w:r>
      <w:r w:rsidRPr="00F92330">
        <w:rPr>
          <w:rFonts w:cstheme="minorHAnsi"/>
          <w:sz w:val="24"/>
          <w:szCs w:val="24"/>
        </w:rPr>
        <w:t xml:space="preserve"> When I discuss landlords in this report, I am generally referring to large multi-property management companies, not smaller </w:t>
      </w:r>
      <w:proofErr w:type="gramStart"/>
      <w:r w:rsidRPr="00F92330">
        <w:rPr>
          <w:rFonts w:cstheme="minorHAnsi"/>
          <w:sz w:val="24"/>
          <w:szCs w:val="24"/>
        </w:rPr>
        <w:t>scale</w:t>
      </w:r>
      <w:proofErr w:type="gramEnd"/>
      <w:r w:rsidRPr="00F92330">
        <w:rPr>
          <w:rFonts w:cstheme="minorHAnsi"/>
          <w:sz w:val="24"/>
          <w:szCs w:val="24"/>
        </w:rPr>
        <w:t xml:space="preserve"> or individual landlords. </w:t>
      </w:r>
    </w:p>
    <w:p w14:paraId="2F258F5D" w14:textId="2C7A0B25" w:rsidR="004A7DE4" w:rsidRPr="00F92330" w:rsidRDefault="004A7DE4" w:rsidP="008420E0">
      <w:pPr>
        <w:spacing w:after="120" w:line="240" w:lineRule="auto"/>
        <w:rPr>
          <w:rFonts w:cstheme="minorHAnsi"/>
          <w:sz w:val="24"/>
          <w:szCs w:val="24"/>
        </w:rPr>
      </w:pPr>
      <w:r w:rsidRPr="00F92330">
        <w:rPr>
          <w:rFonts w:cstheme="minorHAnsi"/>
          <w:sz w:val="24"/>
          <w:szCs w:val="24"/>
        </w:rPr>
        <w:t>In response to downward market pressure to increase rents, landlords often evict entire complexes of tenants to pursue renovations that will justify moving in new higher paying clientele (</w:t>
      </w:r>
      <w:r w:rsidR="00772212" w:rsidRPr="00F92330">
        <w:rPr>
          <w:rFonts w:cstheme="minorHAnsi"/>
          <w:sz w:val="24"/>
          <w:szCs w:val="24"/>
        </w:rPr>
        <w:t>Khouri, 2018</w:t>
      </w:r>
      <w:r w:rsidRPr="00F92330">
        <w:rPr>
          <w:rFonts w:cstheme="minorHAnsi"/>
          <w:sz w:val="24"/>
          <w:szCs w:val="24"/>
        </w:rPr>
        <w:t xml:space="preserve">). </w:t>
      </w:r>
      <w:r w:rsidR="00E502B8" w:rsidRPr="00F92330">
        <w:rPr>
          <w:rFonts w:cstheme="minorHAnsi"/>
          <w:sz w:val="24"/>
          <w:szCs w:val="24"/>
        </w:rPr>
        <w:t>C</w:t>
      </w:r>
      <w:r w:rsidRPr="00F92330">
        <w:rPr>
          <w:rFonts w:cstheme="minorHAnsi"/>
          <w:sz w:val="24"/>
          <w:szCs w:val="24"/>
        </w:rPr>
        <w:t>omplex-wide evictions are still legal under California’s current laws (</w:t>
      </w:r>
      <w:r w:rsidR="008F76D5" w:rsidRPr="00F92330">
        <w:rPr>
          <w:rFonts w:cstheme="minorHAnsi"/>
          <w:sz w:val="24"/>
          <w:szCs w:val="24"/>
        </w:rPr>
        <w:t>AB-1482, 2019</w:t>
      </w:r>
      <w:r w:rsidRPr="00F92330">
        <w:rPr>
          <w:rFonts w:cstheme="minorHAnsi"/>
          <w:sz w:val="24"/>
          <w:szCs w:val="24"/>
        </w:rPr>
        <w:t xml:space="preserve">). </w:t>
      </w:r>
      <w:bookmarkEnd w:id="3"/>
      <w:r w:rsidRPr="00F92330">
        <w:rPr>
          <w:rFonts w:cstheme="minorHAnsi"/>
          <w:sz w:val="24"/>
          <w:szCs w:val="24"/>
        </w:rPr>
        <w:t>Those who are most likely to face evictions are the most financially vulnerable and are also the most likely to have the least access to mental health, substance abuse, or other health and safety related services (</w:t>
      </w:r>
      <w:r w:rsidR="00503321" w:rsidRPr="00F92330">
        <w:rPr>
          <w:rFonts w:cstheme="minorHAnsi"/>
          <w:sz w:val="24"/>
          <w:szCs w:val="24"/>
        </w:rPr>
        <w:t>Desmond, 2018</w:t>
      </w:r>
      <w:r w:rsidRPr="00F92330">
        <w:rPr>
          <w:rFonts w:cstheme="minorHAnsi"/>
          <w:sz w:val="24"/>
          <w:szCs w:val="24"/>
        </w:rPr>
        <w:t xml:space="preserve">). </w:t>
      </w:r>
      <w:bookmarkStart w:id="4" w:name="_Hlk68601553"/>
      <w:r w:rsidRPr="00F92330">
        <w:rPr>
          <w:rFonts w:cstheme="minorHAnsi"/>
          <w:sz w:val="24"/>
          <w:szCs w:val="24"/>
        </w:rPr>
        <w:t xml:space="preserve">is especially pertinent when we consider that there is a direct connection between eviction and homelessness, as reported directly by unhoused people, by academic studies of unhoused people, and by housing advocates </w:t>
      </w:r>
      <w:bookmarkEnd w:id="4"/>
      <w:r w:rsidRPr="00F92330">
        <w:rPr>
          <w:rFonts w:cstheme="minorHAnsi"/>
          <w:sz w:val="24"/>
          <w:szCs w:val="24"/>
        </w:rPr>
        <w:t>(</w:t>
      </w:r>
      <w:r w:rsidR="009D6590" w:rsidRPr="00F92330">
        <w:rPr>
          <w:rFonts w:cstheme="minorHAnsi"/>
          <w:sz w:val="24"/>
          <w:szCs w:val="24"/>
        </w:rPr>
        <w:t xml:space="preserve">van </w:t>
      </w:r>
      <w:proofErr w:type="spellStart"/>
      <w:r w:rsidR="009D6590" w:rsidRPr="00F92330">
        <w:rPr>
          <w:rFonts w:cstheme="minorHAnsi"/>
          <w:sz w:val="24"/>
          <w:szCs w:val="24"/>
        </w:rPr>
        <w:t>Laere</w:t>
      </w:r>
      <w:proofErr w:type="spellEnd"/>
      <w:r w:rsidR="009D6590" w:rsidRPr="00F92330">
        <w:rPr>
          <w:rFonts w:cstheme="minorHAnsi"/>
          <w:sz w:val="24"/>
          <w:szCs w:val="24"/>
        </w:rPr>
        <w:t xml:space="preserve"> et al, 2009; Lee, 2003</w:t>
      </w:r>
      <w:r w:rsidRPr="00F92330">
        <w:rPr>
          <w:rFonts w:cstheme="minorHAnsi"/>
          <w:sz w:val="24"/>
          <w:szCs w:val="24"/>
        </w:rPr>
        <w:t>).</w:t>
      </w:r>
      <w:r w:rsidR="00FA5260" w:rsidRPr="00F92330">
        <w:rPr>
          <w:rFonts w:cstheme="minorHAnsi"/>
          <w:sz w:val="24"/>
          <w:szCs w:val="24"/>
        </w:rPr>
        <w:t xml:space="preserve"> In this report, I will specifically consider this group of people who most frequently find themselves in substandard housing conditions.</w:t>
      </w:r>
    </w:p>
    <w:p w14:paraId="31E10654" w14:textId="1DAD7C29" w:rsidR="005D6350" w:rsidRPr="00F92330" w:rsidRDefault="005D6350" w:rsidP="008420E0">
      <w:pPr>
        <w:spacing w:after="120" w:line="240" w:lineRule="auto"/>
        <w:rPr>
          <w:rFonts w:cstheme="minorHAnsi"/>
          <w:sz w:val="24"/>
          <w:szCs w:val="24"/>
        </w:rPr>
      </w:pPr>
      <w:bookmarkStart w:id="5" w:name="_Hlk68603205"/>
      <w:r w:rsidRPr="00F92330">
        <w:rPr>
          <w:rFonts w:cstheme="minorHAnsi"/>
          <w:sz w:val="24"/>
          <w:szCs w:val="24"/>
        </w:rPr>
        <w:t xml:space="preserve">In California, </w:t>
      </w:r>
      <w:r w:rsidR="006B0A63" w:rsidRPr="00F92330">
        <w:rPr>
          <w:rFonts w:cstheme="minorHAnsi"/>
          <w:sz w:val="24"/>
          <w:szCs w:val="24"/>
        </w:rPr>
        <w:t xml:space="preserve">specific </w:t>
      </w:r>
      <w:r w:rsidRPr="00F92330">
        <w:rPr>
          <w:rFonts w:cstheme="minorHAnsi"/>
          <w:sz w:val="24"/>
          <w:szCs w:val="24"/>
        </w:rPr>
        <w:t xml:space="preserve">regulatory hurdles </w:t>
      </w:r>
      <w:r w:rsidR="00376C56" w:rsidRPr="00F92330">
        <w:rPr>
          <w:rFonts w:cstheme="minorHAnsi"/>
          <w:sz w:val="24"/>
          <w:szCs w:val="24"/>
        </w:rPr>
        <w:t>have</w:t>
      </w:r>
      <w:r w:rsidRPr="00F92330">
        <w:rPr>
          <w:rFonts w:cstheme="minorHAnsi"/>
          <w:sz w:val="24"/>
          <w:szCs w:val="24"/>
        </w:rPr>
        <w:t xml:space="preserve"> limited </w:t>
      </w:r>
      <w:r w:rsidR="006B0A63" w:rsidRPr="00F92330">
        <w:rPr>
          <w:rFonts w:cstheme="minorHAnsi"/>
          <w:sz w:val="24"/>
          <w:szCs w:val="24"/>
        </w:rPr>
        <w:t xml:space="preserve">low-cost </w:t>
      </w:r>
      <w:r w:rsidRPr="00F92330">
        <w:rPr>
          <w:rFonts w:cstheme="minorHAnsi"/>
          <w:sz w:val="24"/>
          <w:szCs w:val="24"/>
        </w:rPr>
        <w:t xml:space="preserve">housing </w:t>
      </w:r>
      <w:r w:rsidR="002155C7" w:rsidRPr="00F92330">
        <w:rPr>
          <w:rFonts w:cstheme="minorHAnsi"/>
          <w:sz w:val="24"/>
          <w:szCs w:val="24"/>
        </w:rPr>
        <w:t>availability</w:t>
      </w:r>
      <w:r w:rsidRPr="00F92330">
        <w:rPr>
          <w:rFonts w:cstheme="minorHAnsi"/>
          <w:sz w:val="24"/>
          <w:szCs w:val="24"/>
        </w:rPr>
        <w:t xml:space="preserve">. </w:t>
      </w:r>
      <w:bookmarkEnd w:id="5"/>
      <w:r w:rsidRPr="00F92330">
        <w:rPr>
          <w:rFonts w:cstheme="minorHAnsi"/>
          <w:sz w:val="24"/>
          <w:szCs w:val="24"/>
        </w:rPr>
        <w:t>Constitutional amendments, government codes</w:t>
      </w:r>
      <w:r w:rsidR="002155C7" w:rsidRPr="00F92330">
        <w:rPr>
          <w:rFonts w:cstheme="minorHAnsi"/>
          <w:sz w:val="24"/>
          <w:szCs w:val="24"/>
        </w:rPr>
        <w:t>,</w:t>
      </w:r>
      <w:r w:rsidRPr="00F92330">
        <w:rPr>
          <w:rFonts w:cstheme="minorHAnsi"/>
          <w:sz w:val="24"/>
          <w:szCs w:val="24"/>
        </w:rPr>
        <w:t xml:space="preserve"> and local ordinances make up a menagerie of restrictions that stop the expansion of affordable housing. Small towns implement density limits or restrict multi-family housing </w:t>
      </w:r>
      <w:r w:rsidR="00F63554" w:rsidRPr="00F92330">
        <w:rPr>
          <w:rFonts w:cstheme="minorHAnsi"/>
          <w:sz w:val="24"/>
          <w:szCs w:val="24"/>
        </w:rPr>
        <w:t>which drive up</w:t>
      </w:r>
      <w:r w:rsidRPr="00F92330">
        <w:rPr>
          <w:rFonts w:cstheme="minorHAnsi"/>
          <w:sz w:val="24"/>
          <w:szCs w:val="24"/>
        </w:rPr>
        <w:t xml:space="preserve"> local real-estate and rental prices</w:t>
      </w:r>
      <w:r w:rsidR="00F63554" w:rsidRPr="00F92330">
        <w:rPr>
          <w:rFonts w:cstheme="minorHAnsi"/>
          <w:sz w:val="24"/>
          <w:szCs w:val="24"/>
        </w:rPr>
        <w:t>.</w:t>
      </w:r>
      <w:r w:rsidRPr="00F92330">
        <w:rPr>
          <w:rFonts w:cstheme="minorHAnsi"/>
          <w:sz w:val="24"/>
          <w:szCs w:val="24"/>
        </w:rPr>
        <w:t xml:space="preserve"> </w:t>
      </w:r>
      <w:r w:rsidR="00F63554" w:rsidRPr="00F92330">
        <w:rPr>
          <w:rFonts w:cstheme="minorHAnsi"/>
          <w:sz w:val="24"/>
          <w:szCs w:val="24"/>
        </w:rPr>
        <w:t>R</w:t>
      </w:r>
      <w:r w:rsidRPr="00F92330">
        <w:rPr>
          <w:rFonts w:cstheme="minorHAnsi"/>
          <w:sz w:val="24"/>
          <w:szCs w:val="24"/>
        </w:rPr>
        <w:t xml:space="preserve">enters </w:t>
      </w:r>
      <w:r w:rsidR="00F63554" w:rsidRPr="00F92330">
        <w:rPr>
          <w:rFonts w:cstheme="minorHAnsi"/>
          <w:sz w:val="24"/>
          <w:szCs w:val="24"/>
        </w:rPr>
        <w:t xml:space="preserve">considering purchasing a home find </w:t>
      </w:r>
      <w:r w:rsidRPr="00F92330">
        <w:rPr>
          <w:rFonts w:cstheme="minorHAnsi"/>
          <w:sz w:val="24"/>
          <w:szCs w:val="24"/>
        </w:rPr>
        <w:t xml:space="preserve">no outlet from already tight rental markets. </w:t>
      </w:r>
      <w:r w:rsidR="00F63554" w:rsidRPr="00F92330">
        <w:rPr>
          <w:rFonts w:cstheme="minorHAnsi"/>
          <w:sz w:val="24"/>
          <w:szCs w:val="24"/>
        </w:rPr>
        <w:t xml:space="preserve">Under Article 34 to the California </w:t>
      </w:r>
      <w:r w:rsidR="00E7254B" w:rsidRPr="00F92330">
        <w:rPr>
          <w:rFonts w:cstheme="minorHAnsi"/>
          <w:sz w:val="24"/>
          <w:szCs w:val="24"/>
        </w:rPr>
        <w:t>C</w:t>
      </w:r>
      <w:r w:rsidR="00F63554" w:rsidRPr="00F92330">
        <w:rPr>
          <w:rFonts w:cstheme="minorHAnsi"/>
          <w:sz w:val="24"/>
          <w:szCs w:val="24"/>
        </w:rPr>
        <w:t>onstitution and local ordinances, local housing boards may</w:t>
      </w:r>
      <w:r w:rsidRPr="00F92330">
        <w:rPr>
          <w:rFonts w:cstheme="minorHAnsi"/>
          <w:sz w:val="24"/>
          <w:szCs w:val="24"/>
        </w:rPr>
        <w:t xml:space="preserve"> vote down new affordable housing options or implement high fines on </w:t>
      </w:r>
      <w:r w:rsidR="00C47A5F" w:rsidRPr="00F92330">
        <w:rPr>
          <w:rFonts w:cstheme="minorHAnsi"/>
          <w:sz w:val="24"/>
          <w:szCs w:val="24"/>
        </w:rPr>
        <w:t>such development</w:t>
      </w:r>
      <w:r w:rsidR="00F63554" w:rsidRPr="00F92330">
        <w:rPr>
          <w:rFonts w:cstheme="minorHAnsi"/>
          <w:sz w:val="24"/>
          <w:szCs w:val="24"/>
        </w:rPr>
        <w:t xml:space="preserve">. </w:t>
      </w:r>
      <w:r w:rsidRPr="00F92330">
        <w:rPr>
          <w:rFonts w:cstheme="minorHAnsi"/>
          <w:sz w:val="24"/>
          <w:szCs w:val="24"/>
        </w:rPr>
        <w:t>(</w:t>
      </w:r>
      <w:r w:rsidR="00602404" w:rsidRPr="00F92330">
        <w:rPr>
          <w:rFonts w:cstheme="minorHAnsi"/>
          <w:sz w:val="24"/>
          <w:szCs w:val="24"/>
        </w:rPr>
        <w:t xml:space="preserve">State of California, 1950; </w:t>
      </w:r>
      <w:r w:rsidR="00503321" w:rsidRPr="00F92330">
        <w:rPr>
          <w:rFonts w:cstheme="minorHAnsi"/>
          <w:sz w:val="24"/>
          <w:szCs w:val="24"/>
        </w:rPr>
        <w:t>Dillon, 2019</w:t>
      </w:r>
      <w:r w:rsidRPr="00F92330">
        <w:rPr>
          <w:rFonts w:cstheme="minorHAnsi"/>
          <w:sz w:val="24"/>
          <w:szCs w:val="24"/>
        </w:rPr>
        <w:t>).</w:t>
      </w:r>
      <w:r w:rsidR="00C47A5F" w:rsidRPr="00F92330">
        <w:rPr>
          <w:rFonts w:cstheme="minorHAnsi"/>
          <w:sz w:val="24"/>
          <w:szCs w:val="24"/>
        </w:rPr>
        <w:t xml:space="preserve"> Equity firms interested in housing expansion meanwhile continue to resist any sort of affordable housing construction, and consistently opt to build luxury housing instead, providing no relief to the already tight market</w:t>
      </w:r>
      <w:r w:rsidR="002B6A5B" w:rsidRPr="00F92330">
        <w:rPr>
          <w:rFonts w:cstheme="minorHAnsi"/>
          <w:sz w:val="24"/>
          <w:szCs w:val="24"/>
        </w:rPr>
        <w:t xml:space="preserve"> (</w:t>
      </w:r>
      <w:r w:rsidR="0084578E" w:rsidRPr="00F92330">
        <w:rPr>
          <w:rFonts w:cstheme="minorHAnsi"/>
          <w:sz w:val="24"/>
          <w:szCs w:val="24"/>
        </w:rPr>
        <w:t>Levin, 2021</w:t>
      </w:r>
      <w:r w:rsidR="002B6A5B" w:rsidRPr="00F92330">
        <w:rPr>
          <w:rFonts w:cstheme="minorHAnsi"/>
          <w:sz w:val="24"/>
          <w:szCs w:val="24"/>
        </w:rPr>
        <w:t>)</w:t>
      </w:r>
      <w:r w:rsidR="00C47A5F" w:rsidRPr="00F92330">
        <w:rPr>
          <w:rFonts w:cstheme="minorHAnsi"/>
          <w:sz w:val="24"/>
          <w:szCs w:val="24"/>
        </w:rPr>
        <w:t>.</w:t>
      </w:r>
    </w:p>
    <w:p w14:paraId="20BC8721" w14:textId="610A65B4" w:rsidR="005D6350" w:rsidRPr="00F92330" w:rsidRDefault="002155C7" w:rsidP="008420E0">
      <w:pPr>
        <w:spacing w:after="120" w:line="240" w:lineRule="auto"/>
        <w:rPr>
          <w:rFonts w:cstheme="minorHAnsi"/>
          <w:sz w:val="24"/>
          <w:szCs w:val="24"/>
        </w:rPr>
      </w:pPr>
      <w:r w:rsidRPr="00F92330">
        <w:rPr>
          <w:rFonts w:cstheme="minorHAnsi"/>
          <w:sz w:val="24"/>
          <w:szCs w:val="24"/>
        </w:rPr>
        <w:t>Tenants living in low-rent housing</w:t>
      </w:r>
      <w:r w:rsidR="005D6350" w:rsidRPr="00F92330">
        <w:rPr>
          <w:rFonts w:cstheme="minorHAnsi"/>
          <w:sz w:val="24"/>
          <w:szCs w:val="24"/>
        </w:rPr>
        <w:t xml:space="preserve"> experience evictions at much higher rates than others in society, especially if they have children, have previous mental health issues, or have fixed incomes</w:t>
      </w:r>
      <w:r w:rsidRPr="00F92330">
        <w:rPr>
          <w:rFonts w:cstheme="minorHAnsi"/>
          <w:sz w:val="24"/>
          <w:szCs w:val="24"/>
        </w:rPr>
        <w:t xml:space="preserve"> (Desmond</w:t>
      </w:r>
      <w:r w:rsidR="00503321" w:rsidRPr="00F92330">
        <w:rPr>
          <w:rFonts w:cstheme="minorHAnsi"/>
          <w:sz w:val="24"/>
          <w:szCs w:val="24"/>
        </w:rPr>
        <w:t>, 2018</w:t>
      </w:r>
      <w:r w:rsidRPr="00F92330">
        <w:rPr>
          <w:rFonts w:cstheme="minorHAnsi"/>
          <w:sz w:val="24"/>
          <w:szCs w:val="24"/>
        </w:rPr>
        <w:t>)</w:t>
      </w:r>
      <w:r w:rsidR="005D6350" w:rsidRPr="00F92330">
        <w:rPr>
          <w:rFonts w:cstheme="minorHAnsi"/>
          <w:sz w:val="24"/>
          <w:szCs w:val="24"/>
        </w:rPr>
        <w:t xml:space="preserve">. Renters in these categories tend to be the most vulnerable individuals in our society and are more likely to experience long-term homelessness </w:t>
      </w:r>
      <w:proofErr w:type="gramStart"/>
      <w:r w:rsidR="005D6350" w:rsidRPr="00F92330">
        <w:rPr>
          <w:rFonts w:cstheme="minorHAnsi"/>
          <w:sz w:val="24"/>
          <w:szCs w:val="24"/>
        </w:rPr>
        <w:t>as a result of</w:t>
      </w:r>
      <w:proofErr w:type="gramEnd"/>
      <w:r w:rsidR="005D6350" w:rsidRPr="00F92330">
        <w:rPr>
          <w:rFonts w:cstheme="minorHAnsi"/>
          <w:sz w:val="24"/>
          <w:szCs w:val="24"/>
        </w:rPr>
        <w:t xml:space="preserve"> an eviction. With little affordable housing available for them, </w:t>
      </w:r>
      <w:r w:rsidR="004A7DE4" w:rsidRPr="00F92330">
        <w:rPr>
          <w:rFonts w:cstheme="minorHAnsi"/>
          <w:sz w:val="24"/>
          <w:szCs w:val="24"/>
        </w:rPr>
        <w:t>these renters must make hard choices that frequently include temporary or permanent homelessness</w:t>
      </w:r>
      <w:r w:rsidR="005D6350" w:rsidRPr="00F92330">
        <w:rPr>
          <w:rFonts w:cstheme="minorHAnsi"/>
          <w:sz w:val="24"/>
          <w:szCs w:val="24"/>
        </w:rPr>
        <w:t>. Wrap</w:t>
      </w:r>
      <w:r w:rsidR="006F49CA" w:rsidRPr="00F92330">
        <w:rPr>
          <w:rFonts w:cstheme="minorHAnsi"/>
          <w:sz w:val="24"/>
          <w:szCs w:val="24"/>
        </w:rPr>
        <w:t>a</w:t>
      </w:r>
      <w:r w:rsidR="005D6350" w:rsidRPr="00F92330">
        <w:rPr>
          <w:rFonts w:cstheme="minorHAnsi"/>
          <w:sz w:val="24"/>
          <w:szCs w:val="24"/>
        </w:rPr>
        <w:t xml:space="preserve">round mental health services and supportive housing facilities </w:t>
      </w:r>
      <w:proofErr w:type="gramStart"/>
      <w:r w:rsidR="005D6350" w:rsidRPr="00F92330">
        <w:rPr>
          <w:rFonts w:cstheme="minorHAnsi"/>
          <w:sz w:val="24"/>
          <w:szCs w:val="24"/>
        </w:rPr>
        <w:t>are left</w:t>
      </w:r>
      <w:proofErr w:type="gramEnd"/>
      <w:r w:rsidR="005D6350" w:rsidRPr="00F92330">
        <w:rPr>
          <w:rFonts w:cstheme="minorHAnsi"/>
          <w:sz w:val="24"/>
          <w:szCs w:val="24"/>
        </w:rPr>
        <w:t xml:space="preserve"> to pick up the pieces in the best cases, and in the worst cases, these individuals die homeless or kill themselves (</w:t>
      </w:r>
      <w:r w:rsidRPr="00F92330">
        <w:rPr>
          <w:rFonts w:cstheme="minorHAnsi"/>
          <w:sz w:val="24"/>
          <w:szCs w:val="24"/>
        </w:rPr>
        <w:t>Desmond</w:t>
      </w:r>
      <w:r w:rsidR="00503321" w:rsidRPr="00F92330">
        <w:rPr>
          <w:rFonts w:cstheme="minorHAnsi"/>
          <w:sz w:val="24"/>
          <w:szCs w:val="24"/>
        </w:rPr>
        <w:t xml:space="preserve"> et al</w:t>
      </w:r>
      <w:r w:rsidRPr="00F92330">
        <w:rPr>
          <w:rFonts w:cstheme="minorHAnsi"/>
          <w:sz w:val="24"/>
          <w:szCs w:val="24"/>
        </w:rPr>
        <w:t xml:space="preserve">, </w:t>
      </w:r>
      <w:r w:rsidR="00503321" w:rsidRPr="00F92330">
        <w:rPr>
          <w:rFonts w:cstheme="minorHAnsi"/>
          <w:sz w:val="24"/>
          <w:szCs w:val="24"/>
        </w:rPr>
        <w:t>2015;</w:t>
      </w:r>
      <w:r w:rsidR="007C7CE5" w:rsidRPr="00F92330">
        <w:rPr>
          <w:rFonts w:cstheme="minorHAnsi"/>
          <w:sz w:val="24"/>
          <w:szCs w:val="24"/>
        </w:rPr>
        <w:t xml:space="preserve"> </w:t>
      </w:r>
      <w:r w:rsidR="00F320D9" w:rsidRPr="00F92330">
        <w:rPr>
          <w:rFonts w:cstheme="minorHAnsi"/>
          <w:sz w:val="24"/>
          <w:szCs w:val="24"/>
        </w:rPr>
        <w:t>Mateo-Rodríguez et al, 2019</w:t>
      </w:r>
      <w:r w:rsidR="005D6350" w:rsidRPr="00F92330">
        <w:rPr>
          <w:rFonts w:cstheme="minorHAnsi"/>
          <w:sz w:val="24"/>
          <w:szCs w:val="24"/>
        </w:rPr>
        <w:t>).</w:t>
      </w:r>
    </w:p>
    <w:p w14:paraId="329327EC" w14:textId="66EC8D5E" w:rsidR="00FB68C7" w:rsidRPr="00F92330" w:rsidRDefault="00FB68C7" w:rsidP="008420E0">
      <w:pPr>
        <w:spacing w:after="120" w:line="240" w:lineRule="auto"/>
        <w:rPr>
          <w:rFonts w:cstheme="minorHAnsi"/>
          <w:sz w:val="24"/>
          <w:szCs w:val="24"/>
        </w:rPr>
      </w:pPr>
      <w:r w:rsidRPr="00F92330">
        <w:rPr>
          <w:rFonts w:cstheme="minorHAnsi"/>
          <w:sz w:val="24"/>
          <w:szCs w:val="24"/>
        </w:rPr>
        <w:t xml:space="preserve">The </w:t>
      </w:r>
      <w:r w:rsidR="007C7CE5" w:rsidRPr="00F92330">
        <w:rPr>
          <w:rFonts w:cstheme="minorHAnsi"/>
          <w:sz w:val="24"/>
          <w:szCs w:val="24"/>
        </w:rPr>
        <w:t xml:space="preserve">COVID 19 </w:t>
      </w:r>
      <w:r w:rsidRPr="00F92330">
        <w:rPr>
          <w:rFonts w:cstheme="minorHAnsi"/>
          <w:sz w:val="24"/>
          <w:szCs w:val="24"/>
        </w:rPr>
        <w:t>pandemic has stalled some of these issues and made others worse</w:t>
      </w:r>
      <w:r w:rsidR="005D6350" w:rsidRPr="00F92330">
        <w:rPr>
          <w:rFonts w:cstheme="minorHAnsi"/>
          <w:sz w:val="24"/>
          <w:szCs w:val="24"/>
        </w:rPr>
        <w:t xml:space="preserve">. </w:t>
      </w:r>
      <w:r w:rsidRPr="00F92330">
        <w:rPr>
          <w:rFonts w:cstheme="minorHAnsi"/>
          <w:sz w:val="24"/>
          <w:szCs w:val="24"/>
        </w:rPr>
        <w:t>The</w:t>
      </w:r>
      <w:r w:rsidR="005D6350" w:rsidRPr="00F92330">
        <w:rPr>
          <w:rFonts w:cstheme="minorHAnsi"/>
          <w:sz w:val="24"/>
          <w:szCs w:val="24"/>
        </w:rPr>
        <w:t xml:space="preserve"> </w:t>
      </w:r>
      <w:r w:rsidRPr="00F92330">
        <w:rPr>
          <w:rFonts w:cstheme="minorHAnsi"/>
          <w:sz w:val="24"/>
          <w:szCs w:val="24"/>
        </w:rPr>
        <w:t xml:space="preserve">California </w:t>
      </w:r>
      <w:r w:rsidR="005D6350" w:rsidRPr="00F92330">
        <w:rPr>
          <w:rFonts w:cstheme="minorHAnsi"/>
          <w:sz w:val="24"/>
          <w:szCs w:val="24"/>
        </w:rPr>
        <w:t xml:space="preserve">eviction moratorium </w:t>
      </w:r>
      <w:r w:rsidRPr="00F92330">
        <w:rPr>
          <w:rFonts w:cstheme="minorHAnsi"/>
          <w:sz w:val="24"/>
          <w:szCs w:val="24"/>
        </w:rPr>
        <w:t>for example protects renters in the short-term but comes with the potential repercussion of an “eviction cliff” at the end of it</w:t>
      </w:r>
      <w:r w:rsidR="005D6350" w:rsidRPr="00F92330">
        <w:rPr>
          <w:rFonts w:cstheme="minorHAnsi"/>
          <w:sz w:val="24"/>
          <w:szCs w:val="24"/>
        </w:rPr>
        <w:t xml:space="preserve">. Many tenants are incurring </w:t>
      </w:r>
      <w:r w:rsidRPr="00F92330">
        <w:rPr>
          <w:rFonts w:cstheme="minorHAnsi"/>
          <w:sz w:val="24"/>
          <w:szCs w:val="24"/>
        </w:rPr>
        <w:t>rent-</w:t>
      </w:r>
      <w:r w:rsidR="005D6350" w:rsidRPr="00F92330">
        <w:rPr>
          <w:rFonts w:cstheme="minorHAnsi"/>
          <w:sz w:val="24"/>
          <w:szCs w:val="24"/>
        </w:rPr>
        <w:t xml:space="preserve">debts </w:t>
      </w:r>
      <w:r w:rsidRPr="00F92330">
        <w:rPr>
          <w:rFonts w:cstheme="minorHAnsi"/>
          <w:sz w:val="24"/>
          <w:szCs w:val="24"/>
        </w:rPr>
        <w:t>during pandemic-related unemployment</w:t>
      </w:r>
      <w:r w:rsidR="00E36CD7" w:rsidRPr="00F92330">
        <w:rPr>
          <w:rFonts w:cstheme="minorHAnsi"/>
          <w:sz w:val="24"/>
          <w:szCs w:val="24"/>
        </w:rPr>
        <w:t>.</w:t>
      </w:r>
      <w:r w:rsidRPr="00F92330">
        <w:rPr>
          <w:rFonts w:cstheme="minorHAnsi"/>
          <w:sz w:val="24"/>
          <w:szCs w:val="24"/>
        </w:rPr>
        <w:t xml:space="preserve"> </w:t>
      </w:r>
      <w:r w:rsidR="00E36CD7" w:rsidRPr="00F92330">
        <w:rPr>
          <w:rFonts w:cstheme="minorHAnsi"/>
          <w:sz w:val="24"/>
          <w:szCs w:val="24"/>
        </w:rPr>
        <w:t>A</w:t>
      </w:r>
      <w:r w:rsidRPr="00F92330">
        <w:rPr>
          <w:rFonts w:cstheme="minorHAnsi"/>
          <w:sz w:val="24"/>
          <w:szCs w:val="24"/>
        </w:rPr>
        <w:t>t the end of the eviction moratorium, they will have to reconcile these debts, or face eviction</w:t>
      </w:r>
      <w:r w:rsidR="005D6350" w:rsidRPr="00F92330">
        <w:rPr>
          <w:rFonts w:cstheme="minorHAnsi"/>
          <w:sz w:val="24"/>
          <w:szCs w:val="24"/>
        </w:rPr>
        <w:t>.</w:t>
      </w:r>
      <w:r w:rsidRPr="00F92330">
        <w:rPr>
          <w:rFonts w:cstheme="minorHAnsi"/>
          <w:sz w:val="24"/>
          <w:szCs w:val="24"/>
        </w:rPr>
        <w:t xml:space="preserve"> </w:t>
      </w:r>
      <w:bookmarkStart w:id="6" w:name="_Hlk68605616"/>
      <w:r w:rsidRPr="00F92330">
        <w:rPr>
          <w:rFonts w:cstheme="minorHAnsi"/>
          <w:sz w:val="24"/>
          <w:szCs w:val="24"/>
        </w:rPr>
        <w:t xml:space="preserve">This means that a large portion of the population may end up facing eviction, thus the “eviction cliff. </w:t>
      </w:r>
      <w:bookmarkEnd w:id="6"/>
      <w:r w:rsidRPr="00F92330">
        <w:rPr>
          <w:rFonts w:cstheme="minorHAnsi"/>
          <w:sz w:val="24"/>
          <w:szCs w:val="24"/>
        </w:rPr>
        <w:t>(</w:t>
      </w:r>
      <w:r w:rsidR="0084578E" w:rsidRPr="00F92330">
        <w:rPr>
          <w:rFonts w:cstheme="minorHAnsi"/>
          <w:sz w:val="24"/>
          <w:szCs w:val="24"/>
        </w:rPr>
        <w:t>Levin, 2020</w:t>
      </w:r>
      <w:r w:rsidRPr="00F92330">
        <w:rPr>
          <w:rFonts w:cstheme="minorHAnsi"/>
          <w:sz w:val="24"/>
          <w:szCs w:val="24"/>
        </w:rPr>
        <w:t>)”</w:t>
      </w:r>
      <w:r w:rsidR="005D6350" w:rsidRPr="00F92330">
        <w:rPr>
          <w:rFonts w:cstheme="minorHAnsi"/>
          <w:sz w:val="24"/>
          <w:szCs w:val="24"/>
        </w:rPr>
        <w:t xml:space="preserve"> </w:t>
      </w:r>
    </w:p>
    <w:p w14:paraId="7B98C2D1" w14:textId="65C58824" w:rsidR="005D6350" w:rsidRPr="00F92330" w:rsidRDefault="005D6350" w:rsidP="008420E0">
      <w:pPr>
        <w:spacing w:after="120" w:line="240" w:lineRule="auto"/>
        <w:rPr>
          <w:rFonts w:cstheme="minorHAnsi"/>
          <w:sz w:val="24"/>
          <w:szCs w:val="24"/>
        </w:rPr>
      </w:pPr>
      <w:bookmarkStart w:id="7" w:name="_Hlk68605727"/>
      <w:r w:rsidRPr="00F92330">
        <w:rPr>
          <w:rFonts w:cstheme="minorHAnsi"/>
          <w:sz w:val="24"/>
          <w:szCs w:val="24"/>
        </w:rPr>
        <w:t xml:space="preserve">Landlords </w:t>
      </w:r>
      <w:r w:rsidR="00FB68C7" w:rsidRPr="00F92330">
        <w:rPr>
          <w:rFonts w:cstheme="minorHAnsi"/>
          <w:sz w:val="24"/>
          <w:szCs w:val="24"/>
        </w:rPr>
        <w:t>meanwhile put</w:t>
      </w:r>
      <w:r w:rsidRPr="00F92330">
        <w:rPr>
          <w:rFonts w:cstheme="minorHAnsi"/>
          <w:sz w:val="24"/>
          <w:szCs w:val="24"/>
        </w:rPr>
        <w:t xml:space="preserve"> constant pressure on the government to include more allowances for eviction in each subsequent expansion of the eviction moratorium, and eviction courts </w:t>
      </w:r>
      <w:r w:rsidRPr="00F92330">
        <w:rPr>
          <w:rFonts w:cstheme="minorHAnsi"/>
          <w:sz w:val="24"/>
          <w:szCs w:val="24"/>
        </w:rPr>
        <w:lastRenderedPageBreak/>
        <w:t>reopened in September to begin processing</w:t>
      </w:r>
      <w:r w:rsidR="00FB68C7" w:rsidRPr="00F92330">
        <w:rPr>
          <w:rFonts w:cstheme="minorHAnsi"/>
          <w:sz w:val="24"/>
          <w:szCs w:val="24"/>
        </w:rPr>
        <w:t xml:space="preserve"> (</w:t>
      </w:r>
      <w:r w:rsidR="000C1659" w:rsidRPr="00F92330">
        <w:rPr>
          <w:rFonts w:cstheme="minorHAnsi"/>
          <w:sz w:val="24"/>
          <w:szCs w:val="24"/>
        </w:rPr>
        <w:t>Housing Is Key, 2021</w:t>
      </w:r>
      <w:r w:rsidR="00C2068E" w:rsidRPr="00F92330">
        <w:rPr>
          <w:rFonts w:cstheme="minorHAnsi"/>
          <w:sz w:val="24"/>
          <w:szCs w:val="24"/>
        </w:rPr>
        <w:t>;</w:t>
      </w:r>
      <w:r w:rsidR="00311B25" w:rsidRPr="00F92330">
        <w:rPr>
          <w:rFonts w:cstheme="minorHAnsi"/>
          <w:sz w:val="24"/>
          <w:szCs w:val="24"/>
        </w:rPr>
        <w:t xml:space="preserve"> CAA</w:t>
      </w:r>
      <w:r w:rsidR="00C2068E" w:rsidRPr="00F92330">
        <w:rPr>
          <w:rFonts w:cstheme="minorHAnsi"/>
          <w:sz w:val="24"/>
          <w:szCs w:val="24"/>
        </w:rPr>
        <w:t>, 2020</w:t>
      </w:r>
      <w:r w:rsidR="00FB68C7" w:rsidRPr="00F92330">
        <w:rPr>
          <w:rFonts w:cstheme="minorHAnsi"/>
          <w:sz w:val="24"/>
          <w:szCs w:val="24"/>
        </w:rPr>
        <w:t>)</w:t>
      </w:r>
      <w:r w:rsidRPr="00F92330">
        <w:rPr>
          <w:rFonts w:cstheme="minorHAnsi"/>
          <w:sz w:val="24"/>
          <w:szCs w:val="24"/>
        </w:rPr>
        <w:t xml:space="preserve">. </w:t>
      </w:r>
      <w:bookmarkEnd w:id="7"/>
      <w:r w:rsidRPr="00F92330">
        <w:rPr>
          <w:rFonts w:cstheme="minorHAnsi"/>
          <w:sz w:val="24"/>
          <w:szCs w:val="24"/>
        </w:rPr>
        <w:t xml:space="preserve">There is less housing availability during the pandemic than before, so tenants who do get evicted will find themselves paying higher </w:t>
      </w:r>
      <w:r w:rsidR="00E36CD7" w:rsidRPr="00F92330">
        <w:rPr>
          <w:rFonts w:cstheme="minorHAnsi"/>
          <w:sz w:val="24"/>
          <w:szCs w:val="24"/>
        </w:rPr>
        <w:t xml:space="preserve">rents for less space </w:t>
      </w:r>
      <w:r w:rsidRPr="00F92330">
        <w:rPr>
          <w:rFonts w:cstheme="minorHAnsi"/>
          <w:sz w:val="24"/>
          <w:szCs w:val="24"/>
        </w:rPr>
        <w:t>(</w:t>
      </w:r>
      <w:r w:rsidR="00C2068E" w:rsidRPr="00F92330">
        <w:rPr>
          <w:rFonts w:cstheme="minorHAnsi"/>
          <w:sz w:val="24"/>
          <w:szCs w:val="24"/>
        </w:rPr>
        <w:t>CAR, 2020</w:t>
      </w:r>
      <w:r w:rsidRPr="00F92330">
        <w:rPr>
          <w:rFonts w:cstheme="minorHAnsi"/>
          <w:sz w:val="24"/>
          <w:szCs w:val="24"/>
        </w:rPr>
        <w:t>).</w:t>
      </w:r>
    </w:p>
    <w:p w14:paraId="23F61733" w14:textId="12CEF3CF" w:rsidR="00382381" w:rsidRPr="00F92330" w:rsidRDefault="005D6350" w:rsidP="008420E0">
      <w:pPr>
        <w:spacing w:after="120" w:line="240" w:lineRule="auto"/>
        <w:rPr>
          <w:rFonts w:cstheme="minorHAnsi"/>
          <w:sz w:val="24"/>
          <w:szCs w:val="24"/>
        </w:rPr>
      </w:pPr>
      <w:r w:rsidRPr="00F92330">
        <w:rPr>
          <w:rFonts w:cstheme="minorHAnsi"/>
          <w:sz w:val="24"/>
          <w:szCs w:val="24"/>
        </w:rPr>
        <w:t xml:space="preserve">In previous research, I discovered that California’s tenant protections are more expansive than </w:t>
      </w:r>
      <w:r w:rsidR="002F49FB" w:rsidRPr="00F92330">
        <w:rPr>
          <w:rFonts w:cstheme="minorHAnsi"/>
          <w:sz w:val="24"/>
          <w:szCs w:val="24"/>
        </w:rPr>
        <w:t xml:space="preserve">those of </w:t>
      </w:r>
      <w:r w:rsidR="000F71D3" w:rsidRPr="00F92330">
        <w:rPr>
          <w:rFonts w:cstheme="minorHAnsi"/>
          <w:sz w:val="24"/>
          <w:szCs w:val="24"/>
        </w:rPr>
        <w:t xml:space="preserve">most </w:t>
      </w:r>
      <w:r w:rsidRPr="00F92330">
        <w:rPr>
          <w:rFonts w:cstheme="minorHAnsi"/>
          <w:sz w:val="24"/>
          <w:szCs w:val="24"/>
        </w:rPr>
        <w:t>other states, with over 60 pieces of legislation that protect tenants in different ways (</w:t>
      </w:r>
      <w:r w:rsidR="00503321" w:rsidRPr="00F92330">
        <w:rPr>
          <w:rFonts w:cstheme="minorHAnsi"/>
          <w:sz w:val="24"/>
          <w:szCs w:val="24"/>
        </w:rPr>
        <w:t>Balint, 2018</w:t>
      </w:r>
      <w:r w:rsidRPr="00F92330">
        <w:rPr>
          <w:rFonts w:cstheme="minorHAnsi"/>
          <w:sz w:val="24"/>
          <w:szCs w:val="24"/>
        </w:rPr>
        <w:t xml:space="preserve">). </w:t>
      </w:r>
      <w:bookmarkStart w:id="8" w:name="_Hlk68605891"/>
      <w:r w:rsidRPr="00F92330">
        <w:rPr>
          <w:rFonts w:cstheme="minorHAnsi"/>
          <w:sz w:val="24"/>
          <w:szCs w:val="24"/>
        </w:rPr>
        <w:t xml:space="preserve">With the implementation of the Tenant Protection Act of 2019, </w:t>
      </w:r>
      <w:r w:rsidR="004D3C5F" w:rsidRPr="00F92330">
        <w:rPr>
          <w:rFonts w:cstheme="minorHAnsi"/>
          <w:sz w:val="24"/>
          <w:szCs w:val="24"/>
        </w:rPr>
        <w:t>just-cause</w:t>
      </w:r>
      <w:r w:rsidRPr="00F92330">
        <w:rPr>
          <w:rFonts w:cstheme="minorHAnsi"/>
          <w:sz w:val="24"/>
          <w:szCs w:val="24"/>
        </w:rPr>
        <w:t xml:space="preserve"> eviction protections for renters </w:t>
      </w:r>
      <w:r w:rsidR="00767411" w:rsidRPr="00F92330">
        <w:rPr>
          <w:rFonts w:cstheme="minorHAnsi"/>
          <w:sz w:val="24"/>
          <w:szCs w:val="24"/>
        </w:rPr>
        <w:t>now ensure that landlords must</w:t>
      </w:r>
      <w:r w:rsidRPr="00F92330">
        <w:rPr>
          <w:rFonts w:cstheme="minorHAnsi"/>
          <w:sz w:val="24"/>
          <w:szCs w:val="24"/>
        </w:rPr>
        <w:t xml:space="preserve"> </w:t>
      </w:r>
      <w:bookmarkEnd w:id="8"/>
      <w:r w:rsidR="006123CF" w:rsidRPr="00F92330">
        <w:rPr>
          <w:rFonts w:cstheme="minorHAnsi"/>
          <w:sz w:val="24"/>
          <w:szCs w:val="24"/>
        </w:rPr>
        <w:t>provide a clear reason on eviction notices</w:t>
      </w:r>
      <w:r w:rsidR="00C65801" w:rsidRPr="00F92330">
        <w:rPr>
          <w:rFonts w:cstheme="minorHAnsi"/>
          <w:sz w:val="24"/>
          <w:szCs w:val="24"/>
        </w:rPr>
        <w:t xml:space="preserve"> </w:t>
      </w:r>
      <w:r w:rsidRPr="00F92330">
        <w:rPr>
          <w:rFonts w:cstheme="minorHAnsi"/>
          <w:sz w:val="24"/>
          <w:szCs w:val="24"/>
        </w:rPr>
        <w:t>(</w:t>
      </w:r>
      <w:r w:rsidR="00C2068E" w:rsidRPr="00F92330">
        <w:rPr>
          <w:rFonts w:cstheme="minorHAnsi"/>
          <w:sz w:val="24"/>
          <w:szCs w:val="24"/>
        </w:rPr>
        <w:t>California Tenant Law, 2020</w:t>
      </w:r>
      <w:r w:rsidRPr="00F92330">
        <w:rPr>
          <w:rFonts w:cstheme="minorHAnsi"/>
          <w:sz w:val="24"/>
          <w:szCs w:val="24"/>
        </w:rPr>
        <w:t xml:space="preserve">). The </w:t>
      </w:r>
      <w:r w:rsidR="00382381" w:rsidRPr="00F92330">
        <w:rPr>
          <w:rFonts w:cstheme="minorHAnsi"/>
          <w:sz w:val="24"/>
          <w:szCs w:val="24"/>
        </w:rPr>
        <w:t>a</w:t>
      </w:r>
      <w:r w:rsidRPr="00F92330">
        <w:rPr>
          <w:rFonts w:cstheme="minorHAnsi"/>
          <w:sz w:val="24"/>
          <w:szCs w:val="24"/>
        </w:rPr>
        <w:t xml:space="preserve">ct </w:t>
      </w:r>
      <w:r w:rsidR="00382381" w:rsidRPr="00F92330">
        <w:rPr>
          <w:rFonts w:cstheme="minorHAnsi"/>
          <w:sz w:val="24"/>
          <w:szCs w:val="24"/>
        </w:rPr>
        <w:t xml:space="preserve">also </w:t>
      </w:r>
      <w:r w:rsidRPr="00F92330">
        <w:rPr>
          <w:rFonts w:cstheme="minorHAnsi"/>
          <w:sz w:val="24"/>
          <w:szCs w:val="24"/>
        </w:rPr>
        <w:t>reduce</w:t>
      </w:r>
      <w:r w:rsidR="000F71D3" w:rsidRPr="00F92330">
        <w:rPr>
          <w:rFonts w:cstheme="minorHAnsi"/>
          <w:sz w:val="24"/>
          <w:szCs w:val="24"/>
        </w:rPr>
        <w:t>s</w:t>
      </w:r>
      <w:r w:rsidRPr="00F92330">
        <w:rPr>
          <w:rFonts w:cstheme="minorHAnsi"/>
          <w:sz w:val="24"/>
          <w:szCs w:val="24"/>
        </w:rPr>
        <w:t xml:space="preserve"> landlords’ ability to use no-fault evictions to get rid of low paying renters by requiring them to cite a cause or pay a tenant’s relocation fees of up to 1 month’s rent (</w:t>
      </w:r>
      <w:r w:rsidR="00C2068E" w:rsidRPr="00F92330">
        <w:rPr>
          <w:rFonts w:cstheme="minorHAnsi"/>
          <w:sz w:val="24"/>
          <w:szCs w:val="24"/>
        </w:rPr>
        <w:t>California Tenant Law, 2020</w:t>
      </w:r>
      <w:r w:rsidRPr="00F92330">
        <w:rPr>
          <w:rFonts w:cstheme="minorHAnsi"/>
          <w:sz w:val="24"/>
          <w:szCs w:val="24"/>
        </w:rPr>
        <w:t xml:space="preserve">). </w:t>
      </w:r>
    </w:p>
    <w:p w14:paraId="2E76D738" w14:textId="417512C0" w:rsidR="005D6350" w:rsidRPr="00F92330" w:rsidRDefault="00B75A18" w:rsidP="008420E0">
      <w:pPr>
        <w:spacing w:after="120" w:line="240" w:lineRule="auto"/>
        <w:rPr>
          <w:rFonts w:cstheme="minorHAnsi"/>
          <w:sz w:val="24"/>
          <w:szCs w:val="24"/>
        </w:rPr>
      </w:pPr>
      <w:r w:rsidRPr="00F92330">
        <w:rPr>
          <w:rFonts w:cstheme="minorHAnsi"/>
          <w:sz w:val="24"/>
          <w:szCs w:val="24"/>
        </w:rPr>
        <w:t>However, landlords</w:t>
      </w:r>
      <w:r w:rsidR="00382381" w:rsidRPr="00F92330">
        <w:rPr>
          <w:rFonts w:cstheme="minorHAnsi"/>
          <w:sz w:val="24"/>
          <w:szCs w:val="24"/>
        </w:rPr>
        <w:t xml:space="preserve"> retained</w:t>
      </w:r>
      <w:r w:rsidRPr="00F92330">
        <w:rPr>
          <w:rFonts w:cstheme="minorHAnsi"/>
          <w:sz w:val="24"/>
          <w:szCs w:val="24"/>
        </w:rPr>
        <w:t xml:space="preserve"> many options to pursue no-fault evictions through legal means, and the timeline that renters </w:t>
      </w:r>
      <w:proofErr w:type="gramStart"/>
      <w:r w:rsidRPr="00F92330">
        <w:rPr>
          <w:rFonts w:cstheme="minorHAnsi"/>
          <w:sz w:val="24"/>
          <w:szCs w:val="24"/>
        </w:rPr>
        <w:t>have to</w:t>
      </w:r>
      <w:proofErr w:type="gramEnd"/>
      <w:r w:rsidRPr="00F92330">
        <w:rPr>
          <w:rFonts w:cstheme="minorHAnsi"/>
          <w:sz w:val="24"/>
          <w:szCs w:val="24"/>
        </w:rPr>
        <w:t xml:space="preserve"> contest evictions is still too short for many of them to take any substantive action (</w:t>
      </w:r>
      <w:r w:rsidR="00602404" w:rsidRPr="00F92330">
        <w:rPr>
          <w:rFonts w:cstheme="minorHAnsi"/>
          <w:sz w:val="24"/>
          <w:szCs w:val="24"/>
        </w:rPr>
        <w:t>State of California</w:t>
      </w:r>
      <w:r w:rsidR="008F76D5" w:rsidRPr="00F92330">
        <w:rPr>
          <w:rFonts w:cstheme="minorHAnsi"/>
          <w:sz w:val="24"/>
          <w:szCs w:val="24"/>
        </w:rPr>
        <w:t>, 2019</w:t>
      </w:r>
      <w:r w:rsidR="00602404" w:rsidRPr="00F92330">
        <w:rPr>
          <w:rFonts w:cstheme="minorHAnsi"/>
          <w:sz w:val="24"/>
          <w:szCs w:val="24"/>
        </w:rPr>
        <w:t>;</w:t>
      </w:r>
      <w:r w:rsidRPr="00F92330">
        <w:rPr>
          <w:rFonts w:cstheme="minorHAnsi"/>
          <w:sz w:val="24"/>
          <w:szCs w:val="24"/>
        </w:rPr>
        <w:t xml:space="preserve"> </w:t>
      </w:r>
      <w:r w:rsidR="00FF79DE"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FF79DE" w:rsidRPr="00F92330">
        <w:rPr>
          <w:rFonts w:eastAsia="Times New Roman" w:cstheme="minorHAnsi"/>
          <w:color w:val="000000"/>
          <w:sz w:val="24"/>
          <w:szCs w:val="24"/>
        </w:rPr>
        <w:t>, 2018</w:t>
      </w:r>
      <w:r w:rsidRPr="00F92330">
        <w:rPr>
          <w:rFonts w:cstheme="minorHAnsi"/>
          <w:sz w:val="24"/>
          <w:szCs w:val="24"/>
        </w:rPr>
        <w:t>). Landlords may also</w:t>
      </w:r>
      <w:r w:rsidR="005D6350" w:rsidRPr="00F92330">
        <w:rPr>
          <w:rFonts w:cstheme="minorHAnsi"/>
          <w:sz w:val="24"/>
          <w:szCs w:val="24"/>
        </w:rPr>
        <w:t xml:space="preserve"> increas</w:t>
      </w:r>
      <w:r w:rsidRPr="00F92330">
        <w:rPr>
          <w:rFonts w:cstheme="minorHAnsi"/>
          <w:sz w:val="24"/>
          <w:szCs w:val="24"/>
        </w:rPr>
        <w:t>e</w:t>
      </w:r>
      <w:r w:rsidR="005D6350" w:rsidRPr="00F92330">
        <w:rPr>
          <w:rFonts w:cstheme="minorHAnsi"/>
          <w:sz w:val="24"/>
          <w:szCs w:val="24"/>
        </w:rPr>
        <w:t xml:space="preserve"> rates up to 10% per year</w:t>
      </w:r>
      <w:r w:rsidR="004A75B0" w:rsidRPr="00F92330">
        <w:rPr>
          <w:rFonts w:cstheme="minorHAnsi"/>
          <w:sz w:val="24"/>
          <w:szCs w:val="24"/>
        </w:rPr>
        <w:t xml:space="preserve"> on top of already inflated rents</w:t>
      </w:r>
      <w:r w:rsidR="005D6350" w:rsidRPr="00F92330">
        <w:rPr>
          <w:rFonts w:cstheme="minorHAnsi"/>
          <w:sz w:val="24"/>
          <w:szCs w:val="24"/>
        </w:rPr>
        <w:t xml:space="preserve"> to pressure low-income renters into situations where they face eviction</w:t>
      </w:r>
      <w:r w:rsidRPr="00F92330">
        <w:rPr>
          <w:rFonts w:cstheme="minorHAnsi"/>
          <w:sz w:val="24"/>
          <w:szCs w:val="24"/>
        </w:rPr>
        <w:t xml:space="preserve">s or </w:t>
      </w:r>
      <w:r w:rsidR="004A75B0" w:rsidRPr="00F92330">
        <w:rPr>
          <w:rFonts w:cstheme="minorHAnsi"/>
          <w:sz w:val="24"/>
          <w:szCs w:val="24"/>
        </w:rPr>
        <w:t>must</w:t>
      </w:r>
      <w:r w:rsidRPr="00F92330">
        <w:rPr>
          <w:rFonts w:cstheme="minorHAnsi"/>
          <w:sz w:val="24"/>
          <w:szCs w:val="24"/>
        </w:rPr>
        <w:t xml:space="preserve"> move out </w:t>
      </w:r>
      <w:r w:rsidR="00382381" w:rsidRPr="00F92330">
        <w:rPr>
          <w:rFonts w:cstheme="minorHAnsi"/>
          <w:sz w:val="24"/>
          <w:szCs w:val="24"/>
        </w:rPr>
        <w:t>to</w:t>
      </w:r>
      <w:r w:rsidRPr="00F92330">
        <w:rPr>
          <w:rFonts w:cstheme="minorHAnsi"/>
          <w:sz w:val="24"/>
          <w:szCs w:val="24"/>
        </w:rPr>
        <w:t xml:space="preserve"> get away from increasing rates</w:t>
      </w:r>
      <w:r w:rsidR="005D6350" w:rsidRPr="00F92330">
        <w:rPr>
          <w:rFonts w:cstheme="minorHAnsi"/>
          <w:sz w:val="24"/>
          <w:szCs w:val="24"/>
        </w:rPr>
        <w:t xml:space="preserve">. When landlords do post eviction notices, most tenants do not understand the unlawful detainer court process to which </w:t>
      </w:r>
      <w:r w:rsidR="0095643F" w:rsidRPr="00F92330">
        <w:rPr>
          <w:rFonts w:cstheme="minorHAnsi"/>
          <w:sz w:val="24"/>
          <w:szCs w:val="24"/>
        </w:rPr>
        <w:t xml:space="preserve">they </w:t>
      </w:r>
      <w:proofErr w:type="gramStart"/>
      <w:r w:rsidR="0095643F" w:rsidRPr="00F92330">
        <w:rPr>
          <w:rFonts w:cstheme="minorHAnsi"/>
          <w:sz w:val="24"/>
          <w:szCs w:val="24"/>
        </w:rPr>
        <w:t>are</w:t>
      </w:r>
      <w:r w:rsidR="005D6350" w:rsidRPr="00F92330">
        <w:rPr>
          <w:rFonts w:cstheme="minorHAnsi"/>
          <w:sz w:val="24"/>
          <w:szCs w:val="24"/>
        </w:rPr>
        <w:t xml:space="preserve"> entitled</w:t>
      </w:r>
      <w:proofErr w:type="gramEnd"/>
      <w:r w:rsidR="005D6350" w:rsidRPr="00F92330">
        <w:rPr>
          <w:rFonts w:cstheme="minorHAnsi"/>
          <w:sz w:val="24"/>
          <w:szCs w:val="24"/>
        </w:rPr>
        <w:t>, and most do not challenge eviction orders, making it very easy for landlords to cite frivolous reasons in their eviction orders, and re-issue as many eviction orders as they need to issue to get rid of a tenant (</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005D6350" w:rsidRPr="00F92330">
        <w:rPr>
          <w:rFonts w:cstheme="minorHAnsi"/>
          <w:sz w:val="24"/>
          <w:szCs w:val="24"/>
        </w:rPr>
        <w:t xml:space="preserve">). </w:t>
      </w:r>
    </w:p>
    <w:p w14:paraId="202B4C99" w14:textId="69DAFC79" w:rsidR="005D6350" w:rsidRPr="00F92330" w:rsidRDefault="005D6350" w:rsidP="008420E0">
      <w:pPr>
        <w:spacing w:after="120" w:line="240" w:lineRule="auto"/>
        <w:rPr>
          <w:rFonts w:cstheme="minorHAnsi"/>
          <w:sz w:val="24"/>
          <w:szCs w:val="24"/>
        </w:rPr>
      </w:pPr>
      <w:r w:rsidRPr="00F92330">
        <w:rPr>
          <w:rFonts w:cstheme="minorHAnsi"/>
          <w:sz w:val="24"/>
          <w:szCs w:val="24"/>
        </w:rPr>
        <w:t>During COVID, the eviction moratorium has ensured that landlords cannot evict tenants if they have paid 25% or more of their owed rent since September of 2020, but many tenants are still unaware of the resources they would need to fight any sort of eviction order, and others have made deals for delayed payment with landlords that force them into future liability while relinquishing their eviction rights (</w:t>
      </w:r>
      <w:r w:rsidR="00AC4082" w:rsidRPr="00F92330">
        <w:rPr>
          <w:rFonts w:cstheme="minorHAnsi"/>
          <w:sz w:val="24"/>
          <w:szCs w:val="24"/>
        </w:rPr>
        <w:t>Desmond</w:t>
      </w:r>
      <w:r w:rsidR="00503321" w:rsidRPr="00F92330">
        <w:rPr>
          <w:rFonts w:cstheme="minorHAnsi"/>
          <w:sz w:val="24"/>
          <w:szCs w:val="24"/>
        </w:rPr>
        <w:t>,</w:t>
      </w:r>
      <w:r w:rsidR="0084578E" w:rsidRPr="00F92330">
        <w:rPr>
          <w:rFonts w:cstheme="minorHAnsi"/>
          <w:sz w:val="24"/>
          <w:szCs w:val="24"/>
        </w:rPr>
        <w:t xml:space="preserve"> </w:t>
      </w:r>
      <w:r w:rsidR="00503321" w:rsidRPr="00F92330">
        <w:rPr>
          <w:rFonts w:cstheme="minorHAnsi"/>
          <w:sz w:val="24"/>
          <w:szCs w:val="24"/>
        </w:rPr>
        <w:t>2018</w:t>
      </w:r>
      <w:r w:rsidRPr="00F92330">
        <w:rPr>
          <w:rFonts w:cstheme="minorHAnsi"/>
          <w:sz w:val="24"/>
          <w:szCs w:val="24"/>
        </w:rPr>
        <w:t xml:space="preserve">). While the eviction moratorium has </w:t>
      </w:r>
      <w:proofErr w:type="gramStart"/>
      <w:r w:rsidRPr="00F92330">
        <w:rPr>
          <w:rFonts w:cstheme="minorHAnsi"/>
          <w:sz w:val="24"/>
          <w:szCs w:val="24"/>
        </w:rPr>
        <w:t>been renewed</w:t>
      </w:r>
      <w:proofErr w:type="gramEnd"/>
      <w:r w:rsidRPr="00F92330">
        <w:rPr>
          <w:rFonts w:cstheme="minorHAnsi"/>
          <w:sz w:val="24"/>
          <w:szCs w:val="24"/>
        </w:rPr>
        <w:t xml:space="preserve"> in California until June 30</w:t>
      </w:r>
      <w:r w:rsidRPr="00F92330">
        <w:rPr>
          <w:rFonts w:cstheme="minorHAnsi"/>
          <w:sz w:val="24"/>
          <w:szCs w:val="24"/>
          <w:vertAlign w:val="superscript"/>
        </w:rPr>
        <w:t>th</w:t>
      </w:r>
      <w:r w:rsidRPr="00F92330">
        <w:rPr>
          <w:rFonts w:cstheme="minorHAnsi"/>
          <w:sz w:val="24"/>
          <w:szCs w:val="24"/>
        </w:rPr>
        <w:t xml:space="preserve">, it still sets a date for an eviction cliff, where many </w:t>
      </w:r>
      <w:r w:rsidR="0095643F" w:rsidRPr="00F92330">
        <w:rPr>
          <w:rFonts w:cstheme="minorHAnsi"/>
          <w:sz w:val="24"/>
          <w:szCs w:val="24"/>
        </w:rPr>
        <w:t>low-income</w:t>
      </w:r>
      <w:r w:rsidRPr="00F92330">
        <w:rPr>
          <w:rFonts w:cstheme="minorHAnsi"/>
          <w:sz w:val="24"/>
          <w:szCs w:val="24"/>
        </w:rPr>
        <w:t xml:space="preserve"> renters will face a perilous mountain of debt.  </w:t>
      </w:r>
    </w:p>
    <w:p w14:paraId="2F90C825" w14:textId="4AF64BD8" w:rsidR="005D6350" w:rsidRPr="00F92330" w:rsidRDefault="005D6350" w:rsidP="008420E0">
      <w:pPr>
        <w:spacing w:after="120" w:line="240" w:lineRule="auto"/>
        <w:rPr>
          <w:rFonts w:cstheme="minorHAnsi"/>
          <w:sz w:val="24"/>
          <w:szCs w:val="24"/>
        </w:rPr>
      </w:pPr>
      <w:r w:rsidRPr="00F92330">
        <w:rPr>
          <w:rFonts w:eastAsia="Times New Roman" w:cstheme="minorHAnsi"/>
          <w:color w:val="000000"/>
          <w:sz w:val="24"/>
          <w:szCs w:val="24"/>
        </w:rPr>
        <w:t xml:space="preserve">An increase in evictions during the aftermath of the COVID pandemic will </w:t>
      </w:r>
      <w:r w:rsidR="007203D3" w:rsidRPr="00F92330">
        <w:rPr>
          <w:rFonts w:eastAsia="Times New Roman" w:cstheme="minorHAnsi"/>
          <w:color w:val="000000"/>
          <w:sz w:val="24"/>
          <w:szCs w:val="24"/>
        </w:rPr>
        <w:t>likely cause a</w:t>
      </w:r>
      <w:r w:rsidRPr="00F92330">
        <w:rPr>
          <w:rFonts w:eastAsia="Times New Roman" w:cstheme="minorHAnsi"/>
          <w:color w:val="000000"/>
          <w:sz w:val="24"/>
          <w:szCs w:val="24"/>
        </w:rPr>
        <w:t xml:space="preserve"> trackable increase in homelessness. Enough of the research I have examined has shown that eviction is explicitly causal in homelessness</w:t>
      </w:r>
      <w:r w:rsidR="003075CB" w:rsidRPr="00F92330">
        <w:rPr>
          <w:rFonts w:eastAsia="Times New Roman" w:cstheme="minorHAnsi"/>
          <w:color w:val="000000"/>
          <w:sz w:val="24"/>
          <w:szCs w:val="24"/>
        </w:rPr>
        <w:t>. 38% of homeless surveyed about causes of homelessness reported eviction to be the primary cause.</w:t>
      </w:r>
      <w:r w:rsidRPr="00F92330">
        <w:rPr>
          <w:rFonts w:eastAsia="Times New Roman" w:cstheme="minorHAnsi"/>
          <w:color w:val="000000"/>
          <w:sz w:val="24"/>
          <w:szCs w:val="24"/>
        </w:rPr>
        <w:t xml:space="preserve"> (</w:t>
      </w:r>
      <w:r w:rsidR="002C23BD" w:rsidRPr="00F92330">
        <w:rPr>
          <w:rFonts w:cstheme="minorHAnsi"/>
          <w:sz w:val="24"/>
          <w:szCs w:val="24"/>
        </w:rPr>
        <w:t xml:space="preserve">van </w:t>
      </w:r>
      <w:proofErr w:type="spellStart"/>
      <w:r w:rsidR="002C23BD" w:rsidRPr="00F92330">
        <w:rPr>
          <w:rFonts w:cstheme="minorHAnsi"/>
          <w:sz w:val="24"/>
          <w:szCs w:val="24"/>
        </w:rPr>
        <w:t>Laere</w:t>
      </w:r>
      <w:proofErr w:type="spellEnd"/>
      <w:r w:rsidR="002C23BD" w:rsidRPr="00F92330">
        <w:rPr>
          <w:rFonts w:cstheme="minorHAnsi"/>
          <w:sz w:val="24"/>
          <w:szCs w:val="24"/>
        </w:rPr>
        <w:t xml:space="preserve"> et al, 2009; </w:t>
      </w:r>
      <w:proofErr w:type="spellStart"/>
      <w:r w:rsidR="002C23BD" w:rsidRPr="00F92330">
        <w:rPr>
          <w:rFonts w:cstheme="minorHAnsi"/>
          <w:sz w:val="24"/>
          <w:szCs w:val="24"/>
        </w:rPr>
        <w:t>Piat</w:t>
      </w:r>
      <w:proofErr w:type="spellEnd"/>
      <w:r w:rsidR="002C23BD" w:rsidRPr="00F92330">
        <w:rPr>
          <w:rFonts w:cstheme="minorHAnsi"/>
          <w:sz w:val="24"/>
          <w:szCs w:val="24"/>
        </w:rPr>
        <w:t xml:space="preserve"> et al, 2015</w:t>
      </w:r>
      <w:r w:rsidR="009D6590" w:rsidRPr="00F92330">
        <w:rPr>
          <w:rFonts w:cstheme="minorHAnsi"/>
          <w:sz w:val="24"/>
          <w:szCs w:val="24"/>
        </w:rPr>
        <w:t>; Lee, 2003</w:t>
      </w:r>
      <w:r w:rsidRPr="00F92330">
        <w:rPr>
          <w:rFonts w:eastAsia="Times New Roman" w:cstheme="minorHAnsi"/>
          <w:color w:val="000000"/>
          <w:sz w:val="24"/>
          <w:szCs w:val="24"/>
        </w:rPr>
        <w:t xml:space="preserve">). </w:t>
      </w:r>
      <w:r w:rsidR="004D772B" w:rsidRPr="00F92330">
        <w:rPr>
          <w:rFonts w:eastAsia="Times New Roman" w:cstheme="minorHAnsi"/>
          <w:color w:val="000000"/>
          <w:sz w:val="24"/>
          <w:szCs w:val="24"/>
        </w:rPr>
        <w:t>Researchers have tied increases</w:t>
      </w:r>
      <w:r w:rsidRPr="00F92330">
        <w:rPr>
          <w:rFonts w:eastAsia="Times New Roman" w:cstheme="minorHAnsi"/>
          <w:color w:val="000000"/>
          <w:sz w:val="24"/>
          <w:szCs w:val="24"/>
        </w:rPr>
        <w:t xml:space="preserve"> in homelessness to increased strain on social and public health services in regional and national studies (</w:t>
      </w:r>
      <w:r w:rsidR="008F76D5" w:rsidRPr="00F92330">
        <w:rPr>
          <w:rFonts w:cstheme="minorHAnsi"/>
          <w:sz w:val="24"/>
          <w:szCs w:val="24"/>
        </w:rPr>
        <w:t>Garrett, 2012</w:t>
      </w:r>
      <w:r w:rsidRPr="00F92330">
        <w:rPr>
          <w:rFonts w:eastAsia="Times New Roman" w:cstheme="minorHAnsi"/>
          <w:color w:val="000000"/>
          <w:sz w:val="24"/>
          <w:szCs w:val="24"/>
        </w:rPr>
        <w:t>)</w:t>
      </w:r>
      <w:r w:rsidR="004D772B" w:rsidRPr="00F92330">
        <w:rPr>
          <w:rFonts w:eastAsia="Times New Roman" w:cstheme="minorHAnsi"/>
          <w:color w:val="000000"/>
          <w:sz w:val="24"/>
          <w:szCs w:val="24"/>
        </w:rPr>
        <w:t>.</w:t>
      </w:r>
    </w:p>
    <w:p w14:paraId="62C04DEA" w14:textId="30B750C4" w:rsidR="00506BF1" w:rsidRDefault="00506BF1" w:rsidP="008420E0">
      <w:pPr>
        <w:spacing w:after="120" w:line="240" w:lineRule="auto"/>
        <w:rPr>
          <w:rFonts w:cstheme="minorHAnsi"/>
          <w:sz w:val="24"/>
          <w:szCs w:val="24"/>
        </w:rPr>
      </w:pPr>
      <w:r w:rsidRPr="00F92330">
        <w:rPr>
          <w:rFonts w:cstheme="minorHAnsi"/>
          <w:sz w:val="24"/>
          <w:szCs w:val="24"/>
        </w:rPr>
        <w:t xml:space="preserve">This report evaluates two different time periods of housing issues, and how those periods affect mental health: the period before and after the eviction process has started. </w:t>
      </w:r>
      <w:r w:rsidR="001504FB" w:rsidRPr="00F92330">
        <w:rPr>
          <w:rFonts w:cstheme="minorHAnsi"/>
          <w:sz w:val="24"/>
          <w:szCs w:val="24"/>
        </w:rPr>
        <w:t>For people experiencing housing instability leading up to an eviction, they</w:t>
      </w:r>
      <w:r w:rsidR="004F0F91" w:rsidRPr="00F92330">
        <w:rPr>
          <w:rFonts w:cstheme="minorHAnsi"/>
          <w:sz w:val="24"/>
          <w:szCs w:val="24"/>
        </w:rPr>
        <w:t xml:space="preserve"> often</w:t>
      </w:r>
      <w:r w:rsidR="001504FB" w:rsidRPr="00F92330">
        <w:rPr>
          <w:rFonts w:cstheme="minorHAnsi"/>
          <w:sz w:val="24"/>
          <w:szCs w:val="24"/>
        </w:rPr>
        <w:t xml:space="preserve"> face</w:t>
      </w:r>
      <w:r w:rsidRPr="00F92330">
        <w:rPr>
          <w:rFonts w:cstheme="minorHAnsi"/>
          <w:sz w:val="24"/>
          <w:szCs w:val="24"/>
        </w:rPr>
        <w:t xml:space="preserve"> a </w:t>
      </w:r>
      <w:r w:rsidR="001504FB" w:rsidRPr="00F92330">
        <w:rPr>
          <w:rFonts w:cstheme="minorHAnsi"/>
          <w:sz w:val="24"/>
          <w:szCs w:val="24"/>
        </w:rPr>
        <w:t xml:space="preserve">variety of </w:t>
      </w:r>
      <w:r w:rsidRPr="00F92330">
        <w:rPr>
          <w:rFonts w:cstheme="minorHAnsi"/>
          <w:sz w:val="24"/>
          <w:szCs w:val="24"/>
        </w:rPr>
        <w:t xml:space="preserve">mental health issues, substance abuse, and/or domestic problems that </w:t>
      </w:r>
      <w:proofErr w:type="gramStart"/>
      <w:r w:rsidRPr="00F92330">
        <w:rPr>
          <w:rFonts w:cstheme="minorHAnsi"/>
          <w:sz w:val="24"/>
          <w:szCs w:val="24"/>
        </w:rPr>
        <w:t>are made</w:t>
      </w:r>
      <w:proofErr w:type="gramEnd"/>
      <w:r w:rsidRPr="00F92330">
        <w:rPr>
          <w:rFonts w:cstheme="minorHAnsi"/>
          <w:sz w:val="24"/>
          <w:szCs w:val="24"/>
        </w:rPr>
        <w:t xml:space="preserve"> worse by substandard housing conditions</w:t>
      </w:r>
      <w:r w:rsidR="001504FB" w:rsidRPr="00F92330">
        <w:rPr>
          <w:rFonts w:cstheme="minorHAnsi"/>
          <w:sz w:val="24"/>
          <w:szCs w:val="24"/>
        </w:rPr>
        <w:t>. Substandard housing issues, in turn, feed the mental health issues with which they struggle, creating a vicious cycle</w:t>
      </w:r>
      <w:r w:rsidRPr="00F92330">
        <w:rPr>
          <w:rFonts w:cstheme="minorHAnsi"/>
          <w:sz w:val="24"/>
          <w:szCs w:val="24"/>
        </w:rPr>
        <w:t xml:space="preserve">. </w:t>
      </w:r>
      <w:r w:rsidR="00C65801" w:rsidRPr="00F92330">
        <w:rPr>
          <w:rFonts w:cstheme="minorHAnsi"/>
          <w:sz w:val="24"/>
          <w:szCs w:val="24"/>
        </w:rPr>
        <w:t>People entering the eviction process</w:t>
      </w:r>
      <w:r w:rsidR="001504FB" w:rsidRPr="00F92330">
        <w:rPr>
          <w:rFonts w:cstheme="minorHAnsi"/>
          <w:sz w:val="24"/>
          <w:szCs w:val="24"/>
        </w:rPr>
        <w:t xml:space="preserve"> generally experience </w:t>
      </w:r>
      <w:r w:rsidRPr="00F92330">
        <w:rPr>
          <w:rFonts w:cstheme="minorHAnsi"/>
          <w:sz w:val="24"/>
          <w:szCs w:val="24"/>
        </w:rPr>
        <w:t xml:space="preserve">increased levels of depression and anxiety, report trauma and recurring </w:t>
      </w:r>
      <w:r w:rsidR="0095643F" w:rsidRPr="00F92330">
        <w:rPr>
          <w:rFonts w:cstheme="minorHAnsi"/>
          <w:sz w:val="24"/>
          <w:szCs w:val="24"/>
        </w:rPr>
        <w:t>post-traumatic</w:t>
      </w:r>
      <w:r w:rsidRPr="00F92330">
        <w:rPr>
          <w:rFonts w:cstheme="minorHAnsi"/>
          <w:sz w:val="24"/>
          <w:szCs w:val="24"/>
        </w:rPr>
        <w:t xml:space="preserve"> stress disorder, and increased rates of suicidal ideation and suicide.</w:t>
      </w:r>
      <w:r w:rsidR="001504FB" w:rsidRPr="00F92330">
        <w:rPr>
          <w:rFonts w:cstheme="minorHAnsi"/>
          <w:sz w:val="24"/>
          <w:szCs w:val="24"/>
        </w:rPr>
        <w:t xml:space="preserve"> The research I reviewed reflects these two paradigms, and how they compound on each other.</w:t>
      </w:r>
    </w:p>
    <w:p w14:paraId="5BC0053A" w14:textId="77777777" w:rsidR="003A53F3" w:rsidRDefault="003A53F3" w:rsidP="003A53F3">
      <w:pPr>
        <w:spacing w:after="120" w:line="240" w:lineRule="auto"/>
        <w:rPr>
          <w:rStyle w:val="IntenseEmphasis"/>
          <w:rFonts w:cstheme="minorHAnsi"/>
          <w:sz w:val="24"/>
          <w:szCs w:val="24"/>
        </w:rPr>
      </w:pPr>
      <w:r w:rsidRPr="00F92330">
        <w:rPr>
          <w:rStyle w:val="IntenseEmphasis"/>
          <w:rFonts w:cstheme="minorHAnsi"/>
          <w:sz w:val="24"/>
          <w:szCs w:val="24"/>
        </w:rPr>
        <w:lastRenderedPageBreak/>
        <w:t xml:space="preserve">Specifics of The California Eviction Process and COVID-19 Tenant Relief Act </w:t>
      </w:r>
    </w:p>
    <w:p w14:paraId="709557C9" w14:textId="77777777" w:rsidR="003A53F3" w:rsidRPr="009208D6" w:rsidRDefault="003A53F3" w:rsidP="003A53F3">
      <w:pPr>
        <w:spacing w:after="120" w:line="240" w:lineRule="auto"/>
        <w:rPr>
          <w:rStyle w:val="IntenseEmphasis"/>
          <w:rFonts w:cstheme="minorHAnsi"/>
          <w:i w:val="0"/>
          <w:iCs w:val="0"/>
          <w:sz w:val="24"/>
          <w:szCs w:val="24"/>
        </w:rPr>
      </w:pPr>
      <w:proofErr w:type="gramStart"/>
      <w:r w:rsidRPr="00341AE9">
        <w:rPr>
          <w:rFonts w:cstheme="minorHAnsi"/>
          <w:sz w:val="24"/>
          <w:szCs w:val="24"/>
        </w:rPr>
        <w:t>In order to</w:t>
      </w:r>
      <w:proofErr w:type="gramEnd"/>
      <w:r w:rsidRPr="00341AE9">
        <w:rPr>
          <w:rFonts w:cstheme="minorHAnsi"/>
          <w:sz w:val="24"/>
          <w:szCs w:val="24"/>
        </w:rPr>
        <w:t xml:space="preserve"> understand the impacts of eviction on mental health, it is helpful to understand how the eviction process works. The following section breaks down the eviction process in California. Specifically, this chart illustrates how quickly and how frequently tenants may find themselves with judgements against them, both through default judgements and through court proceedings.</w:t>
      </w:r>
    </w:p>
    <w:p w14:paraId="2C55B26E" w14:textId="77777777" w:rsidR="003A53F3" w:rsidRPr="00F92330" w:rsidRDefault="003A53F3" w:rsidP="003A53F3">
      <w:pPr>
        <w:spacing w:after="120" w:line="240" w:lineRule="auto"/>
        <w:rPr>
          <w:rFonts w:cstheme="minorHAnsi"/>
          <w:b/>
          <w:bCs/>
          <w:i/>
          <w:iCs/>
          <w:sz w:val="24"/>
          <w:szCs w:val="24"/>
        </w:rPr>
      </w:pPr>
      <w:r w:rsidRPr="00F92330">
        <w:rPr>
          <w:rFonts w:cstheme="minorHAnsi"/>
          <w:b/>
          <w:bCs/>
          <w:i/>
          <w:iCs/>
          <w:noProof/>
          <w:sz w:val="24"/>
          <w:szCs w:val="24"/>
        </w:rPr>
        <mc:AlternateContent>
          <mc:Choice Requires="wps">
            <w:drawing>
              <wp:anchor distT="45720" distB="45720" distL="114300" distR="114300" simplePos="0" relativeHeight="251661312" behindDoc="0" locked="0" layoutInCell="1" allowOverlap="1" wp14:anchorId="55CF1543" wp14:editId="046F93A5">
                <wp:simplePos x="0" y="0"/>
                <wp:positionH relativeFrom="page">
                  <wp:posOffset>5755640</wp:posOffset>
                </wp:positionH>
                <wp:positionV relativeFrom="paragraph">
                  <wp:posOffset>3459851</wp:posOffset>
                </wp:positionV>
                <wp:extent cx="1653540" cy="2008505"/>
                <wp:effectExtent l="0" t="0" r="22860"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008505"/>
                        </a:xfrm>
                        <a:prstGeom prst="rect">
                          <a:avLst/>
                        </a:prstGeom>
                        <a:solidFill>
                          <a:srgbClr val="FFFFFF"/>
                        </a:solidFill>
                        <a:ln w="9525">
                          <a:solidFill>
                            <a:srgbClr val="000000"/>
                          </a:solidFill>
                          <a:miter lim="800000"/>
                          <a:headEnd/>
                          <a:tailEnd/>
                        </a:ln>
                      </wps:spPr>
                      <wps:txbx>
                        <w:txbxContent>
                          <w:p w14:paraId="044BF780" w14:textId="77777777" w:rsidR="003A53F3" w:rsidRDefault="003A53F3" w:rsidP="003A53F3">
                            <w:pPr>
                              <w:spacing w:line="240" w:lineRule="auto"/>
                              <w:contextualSpacing/>
                              <w:rPr>
                                <w:sz w:val="16"/>
                                <w:szCs w:val="16"/>
                              </w:rPr>
                            </w:pPr>
                            <w:r>
                              <w:rPr>
                                <w:sz w:val="20"/>
                                <w:szCs w:val="20"/>
                              </w:rPr>
                              <w:t>Unlawful detainer in court</w:t>
                            </w:r>
                          </w:p>
                          <w:p w14:paraId="71629122" w14:textId="77777777" w:rsidR="003A53F3" w:rsidRDefault="003A53F3" w:rsidP="003A53F3">
                            <w:pPr>
                              <w:spacing w:line="240" w:lineRule="auto"/>
                              <w:contextualSpacing/>
                              <w:rPr>
                                <w:sz w:val="16"/>
                                <w:szCs w:val="16"/>
                              </w:rPr>
                            </w:pPr>
                          </w:p>
                          <w:p w14:paraId="6D66C8EC" w14:textId="77777777" w:rsidR="003A53F3" w:rsidRPr="00295247" w:rsidRDefault="003A53F3" w:rsidP="003A53F3">
                            <w:pPr>
                              <w:rPr>
                                <w:sz w:val="16"/>
                                <w:szCs w:val="16"/>
                              </w:rPr>
                            </w:pPr>
                            <w:r>
                              <w:rPr>
                                <w:sz w:val="16"/>
                                <w:szCs w:val="16"/>
                              </w:rPr>
                              <w:t>Judge</w:t>
                            </w:r>
                            <w:r w:rsidRPr="00295247">
                              <w:rPr>
                                <w:sz w:val="16"/>
                                <w:szCs w:val="16"/>
                              </w:rPr>
                              <w:t xml:space="preserve"> rules </w:t>
                            </w:r>
                            <w:r>
                              <w:rPr>
                                <w:sz w:val="16"/>
                                <w:szCs w:val="16"/>
                              </w:rPr>
                              <w:t>either</w:t>
                            </w:r>
                            <w:r w:rsidRPr="00295247">
                              <w:rPr>
                                <w:sz w:val="16"/>
                                <w:szCs w:val="16"/>
                              </w:rPr>
                              <w:t>:</w:t>
                            </w:r>
                          </w:p>
                          <w:p w14:paraId="1B370471" w14:textId="77777777" w:rsidR="003A53F3" w:rsidRPr="00295247" w:rsidRDefault="003A53F3" w:rsidP="003A53F3">
                            <w:pPr>
                              <w:rPr>
                                <w:sz w:val="16"/>
                                <w:szCs w:val="16"/>
                              </w:rPr>
                            </w:pPr>
                            <w:r>
                              <w:rPr>
                                <w:sz w:val="16"/>
                                <w:szCs w:val="16"/>
                              </w:rPr>
                              <w:t>T</w:t>
                            </w:r>
                            <w:r w:rsidRPr="00295247">
                              <w:rPr>
                                <w:sz w:val="16"/>
                                <w:szCs w:val="16"/>
                              </w:rPr>
                              <w:t>enant can stay in the apartment upon reconciling their lease violation or paying rent in full.</w:t>
                            </w:r>
                          </w:p>
                          <w:p w14:paraId="28B21C86" w14:textId="77777777" w:rsidR="003A53F3" w:rsidRPr="00295247" w:rsidRDefault="003A53F3" w:rsidP="003A53F3">
                            <w:pPr>
                              <w:rPr>
                                <w:sz w:val="24"/>
                                <w:szCs w:val="24"/>
                              </w:rPr>
                            </w:pPr>
                            <w:r w:rsidRPr="00295247">
                              <w:rPr>
                                <w:sz w:val="16"/>
                                <w:szCs w:val="16"/>
                              </w:rPr>
                              <w:t>The judge issues a writ of possession and the tenant has 5 days to vacate premises after service of writ, or the sheriff will remove the tenant’s possessions</w:t>
                            </w:r>
                            <w:r w:rsidRPr="00295247">
                              <w:rPr>
                                <w:sz w:val="24"/>
                                <w:szCs w:val="24"/>
                              </w:rPr>
                              <w:t xml:space="preserve"> </w:t>
                            </w:r>
                            <w:r w:rsidRPr="00295247">
                              <w:rPr>
                                <w:sz w:val="16"/>
                                <w:szCs w:val="16"/>
                              </w:rPr>
                              <w:t>within 3 days following.</w:t>
                            </w:r>
                          </w:p>
                          <w:p w14:paraId="53FD005E" w14:textId="77777777" w:rsidR="003A53F3" w:rsidRPr="00295247" w:rsidRDefault="003A53F3" w:rsidP="003A53F3">
                            <w:pPr>
                              <w:spacing w:line="240" w:lineRule="auto"/>
                              <w:contextual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F1543" id="_x0000_t202" coordsize="21600,21600" o:spt="202" path="m,l,21600r21600,l21600,xe">
                <v:stroke joinstyle="miter"/>
                <v:path gradientshapeok="t" o:connecttype="rect"/>
              </v:shapetype>
              <v:shape id="Text Box 3" o:spid="_x0000_s1026" type="#_x0000_t202" style="position:absolute;margin-left:453.2pt;margin-top:272.45pt;width:130.2pt;height:158.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">
                <v:textbox>
                  <w:txbxContent>
                    <w:p w14:paraId="044BF780" w14:textId="77777777" w:rsidR="003A53F3" w:rsidRDefault="003A53F3" w:rsidP="003A53F3">
                      <w:pPr>
                        <w:spacing w:line="240" w:lineRule="auto"/>
                        <w:contextualSpacing/>
                        <w:rPr>
                          <w:sz w:val="16"/>
                          <w:szCs w:val="16"/>
                        </w:rPr>
                      </w:pPr>
                      <w:r>
                        <w:rPr>
                          <w:sz w:val="20"/>
                          <w:szCs w:val="20"/>
                        </w:rPr>
                        <w:t>Unlawful detainer in court</w:t>
                      </w:r>
                    </w:p>
                    <w:p w14:paraId="71629122" w14:textId="77777777" w:rsidR="003A53F3" w:rsidRDefault="003A53F3" w:rsidP="003A53F3">
                      <w:pPr>
                        <w:spacing w:line="240" w:lineRule="auto"/>
                        <w:contextualSpacing/>
                        <w:rPr>
                          <w:sz w:val="16"/>
                          <w:szCs w:val="16"/>
                        </w:rPr>
                      </w:pPr>
                    </w:p>
                    <w:p w14:paraId="6D66C8EC" w14:textId="77777777" w:rsidR="003A53F3" w:rsidRPr="00295247" w:rsidRDefault="003A53F3" w:rsidP="003A53F3">
                      <w:pPr>
                        <w:rPr>
                          <w:sz w:val="16"/>
                          <w:szCs w:val="16"/>
                        </w:rPr>
                      </w:pPr>
                      <w:r>
                        <w:rPr>
                          <w:sz w:val="16"/>
                          <w:szCs w:val="16"/>
                        </w:rPr>
                        <w:t>Judge</w:t>
                      </w:r>
                      <w:r w:rsidRPr="00295247">
                        <w:rPr>
                          <w:sz w:val="16"/>
                          <w:szCs w:val="16"/>
                        </w:rPr>
                        <w:t xml:space="preserve"> rules </w:t>
                      </w:r>
                      <w:r>
                        <w:rPr>
                          <w:sz w:val="16"/>
                          <w:szCs w:val="16"/>
                        </w:rPr>
                        <w:t>either</w:t>
                      </w:r>
                      <w:r w:rsidRPr="00295247">
                        <w:rPr>
                          <w:sz w:val="16"/>
                          <w:szCs w:val="16"/>
                        </w:rPr>
                        <w:t>:</w:t>
                      </w:r>
                    </w:p>
                    <w:p w14:paraId="1B370471" w14:textId="77777777" w:rsidR="003A53F3" w:rsidRPr="00295247" w:rsidRDefault="003A53F3" w:rsidP="003A53F3">
                      <w:pPr>
                        <w:rPr>
                          <w:sz w:val="16"/>
                          <w:szCs w:val="16"/>
                        </w:rPr>
                      </w:pPr>
                      <w:r>
                        <w:rPr>
                          <w:sz w:val="16"/>
                          <w:szCs w:val="16"/>
                        </w:rPr>
                        <w:t>T</w:t>
                      </w:r>
                      <w:r w:rsidRPr="00295247">
                        <w:rPr>
                          <w:sz w:val="16"/>
                          <w:szCs w:val="16"/>
                        </w:rPr>
                        <w:t>enant can stay in the apartment upon reconciling their lease violation or paying rent in full.</w:t>
                      </w:r>
                    </w:p>
                    <w:p w14:paraId="28B21C86" w14:textId="77777777" w:rsidR="003A53F3" w:rsidRPr="00295247" w:rsidRDefault="003A53F3" w:rsidP="003A53F3">
                      <w:pPr>
                        <w:rPr>
                          <w:sz w:val="24"/>
                          <w:szCs w:val="24"/>
                        </w:rPr>
                      </w:pPr>
                      <w:r w:rsidRPr="00295247">
                        <w:rPr>
                          <w:sz w:val="16"/>
                          <w:szCs w:val="16"/>
                        </w:rPr>
                        <w:t>The judge issues a writ of possession and the tenant has 5 days to vacate premises after service of writ, or the sheriff will remove the tenant’s possessions</w:t>
                      </w:r>
                      <w:r w:rsidRPr="00295247">
                        <w:rPr>
                          <w:sz w:val="24"/>
                          <w:szCs w:val="24"/>
                        </w:rPr>
                        <w:t xml:space="preserve"> </w:t>
                      </w:r>
                      <w:r w:rsidRPr="00295247">
                        <w:rPr>
                          <w:sz w:val="16"/>
                          <w:szCs w:val="16"/>
                        </w:rPr>
                        <w:t>within 3 days following.</w:t>
                      </w:r>
                    </w:p>
                    <w:p w14:paraId="53FD005E" w14:textId="77777777" w:rsidR="003A53F3" w:rsidRPr="00295247" w:rsidRDefault="003A53F3" w:rsidP="003A53F3">
                      <w:pPr>
                        <w:spacing w:line="240" w:lineRule="auto"/>
                        <w:contextualSpacing/>
                        <w:rPr>
                          <w:sz w:val="20"/>
                          <w:szCs w:val="20"/>
                        </w:rPr>
                      </w:pPr>
                    </w:p>
                  </w:txbxContent>
                </v:textbox>
                <w10:wrap type="square" anchorx="page"/>
              </v:shape>
            </w:pict>
          </mc:Fallback>
        </mc:AlternateContent>
      </w:r>
      <w:r w:rsidRPr="00F92330">
        <w:rPr>
          <w:rFonts w:cstheme="minorHAnsi"/>
          <w:b/>
          <w:bCs/>
          <w:i/>
          <w:iCs/>
          <w:noProof/>
          <w:sz w:val="24"/>
          <w:szCs w:val="24"/>
        </w:rPr>
        <mc:AlternateContent>
          <mc:Choice Requires="wps">
            <w:drawing>
              <wp:anchor distT="45720" distB="45720" distL="114300" distR="114300" simplePos="0" relativeHeight="251660288" behindDoc="0" locked="0" layoutInCell="1" allowOverlap="1" wp14:anchorId="477FCE6C" wp14:editId="0D1EE8E4">
                <wp:simplePos x="0" y="0"/>
                <wp:positionH relativeFrom="page">
                  <wp:posOffset>5755640</wp:posOffset>
                </wp:positionH>
                <wp:positionV relativeFrom="paragraph">
                  <wp:posOffset>2176145</wp:posOffset>
                </wp:positionV>
                <wp:extent cx="1653540" cy="1183640"/>
                <wp:effectExtent l="0" t="0" r="2286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183640"/>
                        </a:xfrm>
                        <a:prstGeom prst="rect">
                          <a:avLst/>
                        </a:prstGeom>
                        <a:solidFill>
                          <a:srgbClr val="FFFFFF"/>
                        </a:solidFill>
                        <a:ln w="9525">
                          <a:solidFill>
                            <a:srgbClr val="000000"/>
                          </a:solidFill>
                          <a:miter lim="800000"/>
                          <a:headEnd/>
                          <a:tailEnd/>
                        </a:ln>
                      </wps:spPr>
                      <wps:txbx>
                        <w:txbxContent>
                          <w:p w14:paraId="2C03FF20" w14:textId="77777777" w:rsidR="003A53F3" w:rsidRPr="00A52E2D" w:rsidRDefault="003A53F3" w:rsidP="003A53F3">
                            <w:pPr>
                              <w:rPr>
                                <w:sz w:val="20"/>
                                <w:szCs w:val="20"/>
                              </w:rPr>
                            </w:pPr>
                            <w:r w:rsidRPr="00A52E2D">
                              <w:rPr>
                                <w:sz w:val="20"/>
                                <w:szCs w:val="20"/>
                              </w:rPr>
                              <w:t>Five day response time:</w:t>
                            </w:r>
                          </w:p>
                          <w:p w14:paraId="305F3476" w14:textId="77777777" w:rsidR="003A53F3" w:rsidRPr="00A52E2D" w:rsidRDefault="003A53F3" w:rsidP="003A53F3">
                            <w:pPr>
                              <w:rPr>
                                <w:sz w:val="16"/>
                                <w:szCs w:val="16"/>
                              </w:rPr>
                            </w:pPr>
                            <w:r w:rsidRPr="00A52E2D">
                              <w:rPr>
                                <w:sz w:val="16"/>
                                <w:szCs w:val="16"/>
                              </w:rPr>
                              <w:t>If the tenant does not respond, the lose by default, and may be asked to move out on the sixth day.</w:t>
                            </w:r>
                          </w:p>
                          <w:p w14:paraId="4F6C516F" w14:textId="77777777" w:rsidR="003A53F3" w:rsidRPr="00A52E2D" w:rsidRDefault="003A53F3" w:rsidP="003A53F3">
                            <w:pPr>
                              <w:rPr>
                                <w:sz w:val="16"/>
                                <w:szCs w:val="16"/>
                              </w:rPr>
                            </w:pPr>
                            <w:r w:rsidRPr="00A52E2D">
                              <w:rPr>
                                <w:sz w:val="16"/>
                                <w:szCs w:val="16"/>
                              </w:rPr>
                              <w:t>If the tenant does respond, a trail is set within 20 days.</w:t>
                            </w:r>
                          </w:p>
                          <w:p w14:paraId="097CDC81" w14:textId="77777777" w:rsidR="003A53F3" w:rsidRPr="00A52E2D" w:rsidRDefault="003A53F3" w:rsidP="003A53F3">
                            <w:pPr>
                              <w:spacing w:line="240" w:lineRule="auto"/>
                              <w:contextualSpacing/>
                              <w:rPr>
                                <w:sz w:val="16"/>
                                <w:szCs w:val="16"/>
                              </w:rPr>
                            </w:pPr>
                          </w:p>
                          <w:p w14:paraId="1623F7CA" w14:textId="77777777" w:rsidR="003A53F3" w:rsidRPr="00A52E2D" w:rsidRDefault="003A53F3" w:rsidP="003A53F3">
                            <w:pPr>
                              <w:spacing w:line="240" w:lineRule="auto"/>
                              <w:contextual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FCE6C" id="Text Box 2" o:spid="_x0000_s1027" type="#_x0000_t202" style="position:absolute;margin-left:453.2pt;margin-top:171.35pt;width:130.2pt;height:93.2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">
                <v:textbox>
                  <w:txbxContent>
                    <w:p w14:paraId="2C03FF20" w14:textId="77777777" w:rsidR="003A53F3" w:rsidRPr="00A52E2D" w:rsidRDefault="003A53F3" w:rsidP="003A53F3">
                      <w:pPr>
                        <w:rPr>
                          <w:sz w:val="20"/>
                          <w:szCs w:val="20"/>
                        </w:rPr>
                      </w:pPr>
                      <w:proofErr w:type="gramStart"/>
                      <w:r w:rsidRPr="00A52E2D">
                        <w:rPr>
                          <w:sz w:val="20"/>
                          <w:szCs w:val="20"/>
                        </w:rPr>
                        <w:t>Five day</w:t>
                      </w:r>
                      <w:proofErr w:type="gramEnd"/>
                      <w:r w:rsidRPr="00A52E2D">
                        <w:rPr>
                          <w:sz w:val="20"/>
                          <w:szCs w:val="20"/>
                        </w:rPr>
                        <w:t xml:space="preserve"> response time:</w:t>
                      </w:r>
                    </w:p>
                    <w:p w14:paraId="305F3476" w14:textId="77777777" w:rsidR="003A53F3" w:rsidRPr="00A52E2D" w:rsidRDefault="003A53F3" w:rsidP="003A53F3">
                      <w:pPr>
                        <w:rPr>
                          <w:sz w:val="16"/>
                          <w:szCs w:val="16"/>
                        </w:rPr>
                      </w:pPr>
                      <w:r w:rsidRPr="00A52E2D">
                        <w:rPr>
                          <w:sz w:val="16"/>
                          <w:szCs w:val="16"/>
                        </w:rPr>
                        <w:t xml:space="preserve">If the tenant does not respond, the lose by default, and may </w:t>
                      </w:r>
                      <w:proofErr w:type="gramStart"/>
                      <w:r w:rsidRPr="00A52E2D">
                        <w:rPr>
                          <w:sz w:val="16"/>
                          <w:szCs w:val="16"/>
                        </w:rPr>
                        <w:t>be asked</w:t>
                      </w:r>
                      <w:proofErr w:type="gramEnd"/>
                      <w:r w:rsidRPr="00A52E2D">
                        <w:rPr>
                          <w:sz w:val="16"/>
                          <w:szCs w:val="16"/>
                        </w:rPr>
                        <w:t xml:space="preserve"> to move out on the sixth day.</w:t>
                      </w:r>
                    </w:p>
                    <w:p w14:paraId="4F6C516F" w14:textId="77777777" w:rsidR="003A53F3" w:rsidRPr="00A52E2D" w:rsidRDefault="003A53F3" w:rsidP="003A53F3">
                      <w:pPr>
                        <w:rPr>
                          <w:sz w:val="16"/>
                          <w:szCs w:val="16"/>
                        </w:rPr>
                      </w:pPr>
                      <w:r w:rsidRPr="00A52E2D">
                        <w:rPr>
                          <w:sz w:val="16"/>
                          <w:szCs w:val="16"/>
                        </w:rPr>
                        <w:t>If the tenant does respond, a trail is set within 20 days.</w:t>
                      </w:r>
                    </w:p>
                    <w:p w14:paraId="097CDC81" w14:textId="77777777" w:rsidR="003A53F3" w:rsidRPr="00A52E2D" w:rsidRDefault="003A53F3" w:rsidP="003A53F3">
                      <w:pPr>
                        <w:spacing w:line="240" w:lineRule="auto"/>
                        <w:contextualSpacing/>
                        <w:rPr>
                          <w:sz w:val="16"/>
                          <w:szCs w:val="16"/>
                        </w:rPr>
                      </w:pPr>
                    </w:p>
                    <w:p w14:paraId="1623F7CA" w14:textId="77777777" w:rsidR="003A53F3" w:rsidRPr="00A52E2D" w:rsidRDefault="003A53F3" w:rsidP="003A53F3">
                      <w:pPr>
                        <w:spacing w:line="240" w:lineRule="auto"/>
                        <w:contextualSpacing/>
                        <w:rPr>
                          <w:sz w:val="16"/>
                          <w:szCs w:val="16"/>
                        </w:rPr>
                      </w:pPr>
                    </w:p>
                  </w:txbxContent>
                </v:textbox>
                <w10:wrap type="square" anchorx="page"/>
              </v:shape>
            </w:pict>
          </mc:Fallback>
        </mc:AlternateContent>
      </w:r>
      <w:r w:rsidRPr="00F92330">
        <w:rPr>
          <w:rFonts w:cstheme="minorHAnsi"/>
          <w:b/>
          <w:bCs/>
          <w:i/>
          <w:iCs/>
          <w:noProof/>
          <w:sz w:val="24"/>
          <w:szCs w:val="24"/>
        </w:rPr>
        <mc:AlternateContent>
          <mc:Choice Requires="wps">
            <w:drawing>
              <wp:anchor distT="45720" distB="45720" distL="114300" distR="114300" simplePos="0" relativeHeight="251659264" behindDoc="0" locked="0" layoutInCell="1" allowOverlap="1" wp14:anchorId="75D93CA1" wp14:editId="29F7E978">
                <wp:simplePos x="0" y="0"/>
                <wp:positionH relativeFrom="page">
                  <wp:posOffset>5750560</wp:posOffset>
                </wp:positionH>
                <wp:positionV relativeFrom="paragraph">
                  <wp:posOffset>892175</wp:posOffset>
                </wp:positionV>
                <wp:extent cx="1653540" cy="117856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178560"/>
                        </a:xfrm>
                        <a:prstGeom prst="rect">
                          <a:avLst/>
                        </a:prstGeom>
                        <a:solidFill>
                          <a:srgbClr val="FFFFFF"/>
                        </a:solidFill>
                        <a:ln w="9525">
                          <a:solidFill>
                            <a:srgbClr val="000000"/>
                          </a:solidFill>
                          <a:miter lim="800000"/>
                          <a:headEnd/>
                          <a:tailEnd/>
                        </a:ln>
                      </wps:spPr>
                      <wps:txbx>
                        <w:txbxContent>
                          <w:p w14:paraId="7CE5B953" w14:textId="77777777" w:rsidR="003A53F3" w:rsidRDefault="003A53F3" w:rsidP="003A53F3">
                            <w:pPr>
                              <w:spacing w:line="240" w:lineRule="auto"/>
                              <w:contextualSpacing/>
                              <w:rPr>
                                <w:sz w:val="20"/>
                                <w:szCs w:val="20"/>
                              </w:rPr>
                            </w:pPr>
                            <w:r>
                              <w:rPr>
                                <w:sz w:val="20"/>
                                <w:szCs w:val="20"/>
                              </w:rPr>
                              <w:t>Three</w:t>
                            </w:r>
                            <w:r w:rsidRPr="00295247">
                              <w:rPr>
                                <w:sz w:val="20"/>
                                <w:szCs w:val="20"/>
                              </w:rPr>
                              <w:t>-day notice</w:t>
                            </w:r>
                          </w:p>
                          <w:p w14:paraId="1403A728" w14:textId="77777777" w:rsidR="003A53F3" w:rsidRDefault="003A53F3" w:rsidP="003A53F3">
                            <w:pPr>
                              <w:spacing w:line="240" w:lineRule="auto"/>
                              <w:contextualSpacing/>
                              <w:rPr>
                                <w:sz w:val="20"/>
                                <w:szCs w:val="20"/>
                              </w:rPr>
                            </w:pPr>
                          </w:p>
                          <w:p w14:paraId="6B3062B3" w14:textId="77777777" w:rsidR="003A53F3" w:rsidRDefault="003A53F3" w:rsidP="003A53F3">
                            <w:pPr>
                              <w:spacing w:line="240" w:lineRule="auto"/>
                              <w:contextualSpacing/>
                              <w:rPr>
                                <w:sz w:val="16"/>
                                <w:szCs w:val="16"/>
                              </w:rPr>
                            </w:pPr>
                            <w:r w:rsidRPr="00295247">
                              <w:rPr>
                                <w:sz w:val="16"/>
                                <w:szCs w:val="16"/>
                              </w:rPr>
                              <w:t>This notice includes provisions to get tenant to pay rent or cure a lease violation.</w:t>
                            </w:r>
                          </w:p>
                          <w:p w14:paraId="3A475D92" w14:textId="77777777" w:rsidR="003A53F3" w:rsidRPr="00295247" w:rsidRDefault="003A53F3" w:rsidP="003A53F3">
                            <w:pPr>
                              <w:spacing w:line="240" w:lineRule="auto"/>
                              <w:contextualSpacing/>
                              <w:rPr>
                                <w:sz w:val="16"/>
                                <w:szCs w:val="16"/>
                              </w:rPr>
                            </w:pPr>
                          </w:p>
                          <w:p w14:paraId="5EDD7D48" w14:textId="77777777" w:rsidR="003A53F3" w:rsidRDefault="003A53F3" w:rsidP="003A53F3">
                            <w:pPr>
                              <w:spacing w:line="240" w:lineRule="auto"/>
                              <w:contextualSpacing/>
                              <w:rPr>
                                <w:sz w:val="16"/>
                                <w:szCs w:val="16"/>
                              </w:rPr>
                            </w:pPr>
                            <w:r w:rsidRPr="00295247">
                              <w:rPr>
                                <w:sz w:val="16"/>
                                <w:szCs w:val="16"/>
                              </w:rPr>
                              <w:t>If tenant pays rent in full, landlord cannot evict them.</w:t>
                            </w:r>
                          </w:p>
                          <w:p w14:paraId="721C2BCA" w14:textId="77777777" w:rsidR="003A53F3" w:rsidRDefault="003A53F3" w:rsidP="003A53F3">
                            <w:pPr>
                              <w:spacing w:line="240" w:lineRule="auto"/>
                              <w:contextualSpacing/>
                              <w:rPr>
                                <w:sz w:val="16"/>
                                <w:szCs w:val="16"/>
                              </w:rPr>
                            </w:pPr>
                          </w:p>
                          <w:p w14:paraId="3DC8CF28" w14:textId="77777777" w:rsidR="003A53F3" w:rsidRPr="00295247" w:rsidRDefault="003A53F3" w:rsidP="003A53F3">
                            <w:pPr>
                              <w:spacing w:line="240" w:lineRule="auto"/>
                              <w:contextual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93CA1" id="_x0000_s1028" type="#_x0000_t202" style="position:absolute;margin-left:452.8pt;margin-top:70.25pt;width:130.2pt;height:92.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">
                <v:textbox>
                  <w:txbxContent>
                    <w:p w14:paraId="7CE5B953" w14:textId="77777777" w:rsidR="003A53F3" w:rsidRDefault="003A53F3" w:rsidP="003A53F3">
                      <w:pPr>
                        <w:spacing w:line="240" w:lineRule="auto"/>
                        <w:contextualSpacing/>
                        <w:rPr>
                          <w:sz w:val="20"/>
                          <w:szCs w:val="20"/>
                        </w:rPr>
                      </w:pPr>
                      <w:r>
                        <w:rPr>
                          <w:sz w:val="20"/>
                          <w:szCs w:val="20"/>
                        </w:rPr>
                        <w:t>Three</w:t>
                      </w:r>
                      <w:r w:rsidRPr="00295247">
                        <w:rPr>
                          <w:sz w:val="20"/>
                          <w:szCs w:val="20"/>
                        </w:rPr>
                        <w:t>-day notice</w:t>
                      </w:r>
                    </w:p>
                    <w:p w14:paraId="1403A728" w14:textId="77777777" w:rsidR="003A53F3" w:rsidRDefault="003A53F3" w:rsidP="003A53F3">
                      <w:pPr>
                        <w:spacing w:line="240" w:lineRule="auto"/>
                        <w:contextualSpacing/>
                        <w:rPr>
                          <w:sz w:val="20"/>
                          <w:szCs w:val="20"/>
                        </w:rPr>
                      </w:pPr>
                    </w:p>
                    <w:p w14:paraId="6B3062B3" w14:textId="77777777" w:rsidR="003A53F3" w:rsidRDefault="003A53F3" w:rsidP="003A53F3">
                      <w:pPr>
                        <w:spacing w:line="240" w:lineRule="auto"/>
                        <w:contextualSpacing/>
                        <w:rPr>
                          <w:sz w:val="16"/>
                          <w:szCs w:val="16"/>
                        </w:rPr>
                      </w:pPr>
                      <w:r w:rsidRPr="00295247">
                        <w:rPr>
                          <w:sz w:val="16"/>
                          <w:szCs w:val="16"/>
                        </w:rPr>
                        <w:t>This notice includes provisions to get tenant to pay rent or cure a lease violation.</w:t>
                      </w:r>
                    </w:p>
                    <w:p w14:paraId="3A475D92" w14:textId="77777777" w:rsidR="003A53F3" w:rsidRPr="00295247" w:rsidRDefault="003A53F3" w:rsidP="003A53F3">
                      <w:pPr>
                        <w:spacing w:line="240" w:lineRule="auto"/>
                        <w:contextualSpacing/>
                        <w:rPr>
                          <w:sz w:val="16"/>
                          <w:szCs w:val="16"/>
                        </w:rPr>
                      </w:pPr>
                    </w:p>
                    <w:p w14:paraId="5EDD7D48" w14:textId="77777777" w:rsidR="003A53F3" w:rsidRDefault="003A53F3" w:rsidP="003A53F3">
                      <w:pPr>
                        <w:spacing w:line="240" w:lineRule="auto"/>
                        <w:contextualSpacing/>
                        <w:rPr>
                          <w:sz w:val="16"/>
                          <w:szCs w:val="16"/>
                        </w:rPr>
                      </w:pPr>
                      <w:r w:rsidRPr="00295247">
                        <w:rPr>
                          <w:sz w:val="16"/>
                          <w:szCs w:val="16"/>
                        </w:rPr>
                        <w:t>If tenant pays rent in full, landlord cannot evict them.</w:t>
                      </w:r>
                    </w:p>
                    <w:p w14:paraId="721C2BCA" w14:textId="77777777" w:rsidR="003A53F3" w:rsidRDefault="003A53F3" w:rsidP="003A53F3">
                      <w:pPr>
                        <w:spacing w:line="240" w:lineRule="auto"/>
                        <w:contextualSpacing/>
                        <w:rPr>
                          <w:sz w:val="16"/>
                          <w:szCs w:val="16"/>
                        </w:rPr>
                      </w:pPr>
                    </w:p>
                    <w:p w14:paraId="3DC8CF28" w14:textId="77777777" w:rsidR="003A53F3" w:rsidRPr="00295247" w:rsidRDefault="003A53F3" w:rsidP="003A53F3">
                      <w:pPr>
                        <w:spacing w:line="240" w:lineRule="auto"/>
                        <w:contextualSpacing/>
                        <w:rPr>
                          <w:sz w:val="20"/>
                          <w:szCs w:val="20"/>
                        </w:rPr>
                      </w:pPr>
                    </w:p>
                  </w:txbxContent>
                </v:textbox>
                <w10:wrap type="square" anchorx="page"/>
              </v:shape>
            </w:pict>
          </mc:Fallback>
        </mc:AlternateContent>
      </w:r>
      <w:r w:rsidRPr="00F92330">
        <w:rPr>
          <w:rFonts w:cstheme="minorHAnsi"/>
          <w:b/>
          <w:bCs/>
          <w:i/>
          <w:iCs/>
          <w:noProof/>
          <w:sz w:val="24"/>
          <w:szCs w:val="24"/>
        </w:rPr>
        <w:drawing>
          <wp:inline distT="0" distB="0" distL="0" distR="0" wp14:anchorId="26C47989" wp14:editId="5A77478C">
            <wp:extent cx="4415456" cy="5714147"/>
            <wp:effectExtent l="0" t="0" r="4445"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74051" cy="5789977"/>
                    </a:xfrm>
                    <a:prstGeom prst="rect">
                      <a:avLst/>
                    </a:prstGeom>
                  </pic:spPr>
                </pic:pic>
              </a:graphicData>
            </a:graphic>
          </wp:inline>
        </w:drawing>
      </w:r>
    </w:p>
    <w:p w14:paraId="6EAAFBE7" w14:textId="11E77EDE" w:rsidR="003A53F3" w:rsidRPr="00F92330" w:rsidRDefault="003A53F3" w:rsidP="003A53F3">
      <w:pPr>
        <w:spacing w:after="120" w:line="240" w:lineRule="auto"/>
        <w:rPr>
          <w:rFonts w:cstheme="minorHAnsi"/>
          <w:sz w:val="24"/>
          <w:szCs w:val="24"/>
        </w:rPr>
      </w:pPr>
      <w:r w:rsidRPr="00F92330">
        <w:rPr>
          <w:rFonts w:cstheme="minorHAnsi"/>
          <w:sz w:val="24"/>
          <w:szCs w:val="24"/>
        </w:rPr>
        <w:t xml:space="preserve">Infographic: </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p>
    <w:p w14:paraId="308EB3DF" w14:textId="496A801F" w:rsidR="003A53F3" w:rsidRPr="00F92330" w:rsidRDefault="003A53F3" w:rsidP="003A53F3">
      <w:pPr>
        <w:spacing w:after="120" w:line="240" w:lineRule="auto"/>
        <w:rPr>
          <w:rFonts w:cstheme="minorHAnsi"/>
          <w:b/>
          <w:bCs/>
          <w:sz w:val="24"/>
          <w:szCs w:val="24"/>
        </w:rPr>
      </w:pPr>
      <w:r w:rsidRPr="00F92330">
        <w:rPr>
          <w:rFonts w:cstheme="minorHAnsi"/>
          <w:sz w:val="24"/>
          <w:szCs w:val="24"/>
        </w:rPr>
        <w:t>Information: NOLO, 2020</w:t>
      </w:r>
      <w:r w:rsidR="00D6081D">
        <w:rPr>
          <w:rFonts w:cstheme="minorHAnsi"/>
          <w:sz w:val="24"/>
          <w:szCs w:val="24"/>
        </w:rPr>
        <w:t>;</w:t>
      </w:r>
      <w:r w:rsidRPr="00F92330">
        <w:rPr>
          <w:rFonts w:cstheme="minorHAnsi"/>
          <w:sz w:val="24"/>
          <w:szCs w:val="24"/>
        </w:rPr>
        <w:t xml:space="preserve"> </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Pr="00F92330">
        <w:rPr>
          <w:rFonts w:cstheme="minorHAnsi"/>
          <w:sz w:val="24"/>
          <w:szCs w:val="24"/>
        </w:rPr>
        <w:t>, 2018</w:t>
      </w:r>
      <w:r w:rsidR="00D6081D">
        <w:rPr>
          <w:rFonts w:cstheme="minorHAnsi"/>
          <w:sz w:val="24"/>
          <w:szCs w:val="24"/>
        </w:rPr>
        <w:t xml:space="preserve">; </w:t>
      </w:r>
      <w:r w:rsidRPr="00F92330">
        <w:rPr>
          <w:rFonts w:cstheme="minorHAnsi"/>
          <w:sz w:val="24"/>
          <w:szCs w:val="24"/>
        </w:rPr>
        <w:t>CAA 2020</w:t>
      </w:r>
    </w:p>
    <w:p w14:paraId="6D973BAA" w14:textId="77777777" w:rsidR="003A53F3" w:rsidRPr="00F92330" w:rsidRDefault="003A53F3" w:rsidP="003A53F3">
      <w:pPr>
        <w:spacing w:after="120" w:line="240" w:lineRule="auto"/>
        <w:rPr>
          <w:rFonts w:cstheme="minorHAnsi"/>
          <w:i/>
          <w:iCs/>
          <w:sz w:val="24"/>
          <w:szCs w:val="24"/>
        </w:rPr>
      </w:pPr>
      <w:r w:rsidRPr="00F92330">
        <w:rPr>
          <w:rFonts w:cstheme="minorHAnsi"/>
          <w:i/>
          <w:iCs/>
          <w:sz w:val="24"/>
          <w:szCs w:val="24"/>
        </w:rPr>
        <w:br w:type="page"/>
      </w:r>
    </w:p>
    <w:p w14:paraId="5DD8D7CD" w14:textId="77777777" w:rsidR="003A53F3" w:rsidRPr="00F92330" w:rsidRDefault="003A53F3" w:rsidP="003A53F3">
      <w:pPr>
        <w:spacing w:after="120" w:line="240" w:lineRule="auto"/>
        <w:rPr>
          <w:rStyle w:val="IntenseEmphasis"/>
          <w:rFonts w:cstheme="minorHAnsi"/>
          <w:sz w:val="24"/>
          <w:szCs w:val="24"/>
        </w:rPr>
      </w:pPr>
      <w:r w:rsidRPr="00F92330">
        <w:rPr>
          <w:rStyle w:val="IntenseEmphasis"/>
          <w:rFonts w:cstheme="minorHAnsi"/>
          <w:sz w:val="24"/>
          <w:szCs w:val="24"/>
        </w:rPr>
        <w:lastRenderedPageBreak/>
        <w:t>The COVID-19 Tenant Relief Act: Two laws that Comprise One Eviction Moratorium</w:t>
      </w:r>
    </w:p>
    <w:p w14:paraId="62DBB4CD" w14:textId="77777777" w:rsidR="003A53F3" w:rsidRPr="00F92330" w:rsidRDefault="003A53F3" w:rsidP="003A53F3">
      <w:pPr>
        <w:pStyle w:val="ListParagraph"/>
        <w:numPr>
          <w:ilvl w:val="0"/>
          <w:numId w:val="7"/>
        </w:numPr>
        <w:spacing w:after="120" w:line="240" w:lineRule="auto"/>
        <w:contextualSpacing w:val="0"/>
        <w:rPr>
          <w:rFonts w:cstheme="minorHAnsi"/>
          <w:sz w:val="24"/>
          <w:szCs w:val="24"/>
        </w:rPr>
      </w:pPr>
      <w:r w:rsidRPr="00F92330">
        <w:rPr>
          <w:rFonts w:cstheme="minorHAnsi"/>
          <w:sz w:val="24"/>
          <w:szCs w:val="24"/>
        </w:rPr>
        <w:t xml:space="preserve">AB 3088 took effect on August 31, </w:t>
      </w:r>
      <w:proofErr w:type="gramStart"/>
      <w:r w:rsidRPr="00F92330">
        <w:rPr>
          <w:rFonts w:cstheme="minorHAnsi"/>
          <w:sz w:val="24"/>
          <w:szCs w:val="24"/>
        </w:rPr>
        <w:t>2020</w:t>
      </w:r>
      <w:proofErr w:type="gramEnd"/>
      <w:r w:rsidRPr="00F92330">
        <w:rPr>
          <w:rFonts w:cstheme="minorHAnsi"/>
          <w:sz w:val="24"/>
          <w:szCs w:val="24"/>
        </w:rPr>
        <w:t xml:space="preserve"> </w:t>
      </w:r>
    </w:p>
    <w:p w14:paraId="21B41ACE" w14:textId="77777777" w:rsidR="003A53F3" w:rsidRPr="00F92330" w:rsidRDefault="003A53F3" w:rsidP="003A53F3">
      <w:pPr>
        <w:pStyle w:val="ListParagraph"/>
        <w:numPr>
          <w:ilvl w:val="1"/>
          <w:numId w:val="7"/>
        </w:numPr>
        <w:spacing w:after="120" w:line="240" w:lineRule="auto"/>
        <w:contextualSpacing w:val="0"/>
        <w:rPr>
          <w:rFonts w:cstheme="minorHAnsi"/>
          <w:sz w:val="24"/>
          <w:szCs w:val="24"/>
        </w:rPr>
      </w:pPr>
      <w:r w:rsidRPr="00F92330">
        <w:rPr>
          <w:rFonts w:cstheme="minorHAnsi"/>
          <w:sz w:val="24"/>
          <w:szCs w:val="24"/>
        </w:rPr>
        <w:t xml:space="preserve">AB 3088 imposes a statewide eviction moratorium between March 1, 2020 and January 31, 2021. </w:t>
      </w:r>
    </w:p>
    <w:p w14:paraId="15750DC1" w14:textId="77777777" w:rsidR="003A53F3" w:rsidRPr="00F92330" w:rsidRDefault="003A53F3" w:rsidP="003A53F3">
      <w:pPr>
        <w:pStyle w:val="ListParagraph"/>
        <w:numPr>
          <w:ilvl w:val="1"/>
          <w:numId w:val="7"/>
        </w:numPr>
        <w:spacing w:after="120" w:line="240" w:lineRule="auto"/>
        <w:contextualSpacing w:val="0"/>
        <w:rPr>
          <w:rFonts w:cstheme="minorHAnsi"/>
          <w:sz w:val="24"/>
          <w:szCs w:val="24"/>
        </w:rPr>
      </w:pPr>
      <w:r w:rsidRPr="00F92330">
        <w:rPr>
          <w:rFonts w:cstheme="minorHAnsi"/>
          <w:sz w:val="24"/>
          <w:szCs w:val="24"/>
        </w:rPr>
        <w:t xml:space="preserve">It applies to tenants unable to pay some or </w:t>
      </w:r>
      <w:proofErr w:type="gramStart"/>
      <w:r w:rsidRPr="00F92330">
        <w:rPr>
          <w:rFonts w:cstheme="minorHAnsi"/>
          <w:sz w:val="24"/>
          <w:szCs w:val="24"/>
        </w:rPr>
        <w:t>all of</w:t>
      </w:r>
      <w:proofErr w:type="gramEnd"/>
      <w:r w:rsidRPr="00F92330">
        <w:rPr>
          <w:rFonts w:cstheme="minorHAnsi"/>
          <w:sz w:val="24"/>
          <w:szCs w:val="24"/>
        </w:rPr>
        <w:t xml:space="preserve"> their rent due to COVID-19-related financial distress. </w:t>
      </w:r>
    </w:p>
    <w:p w14:paraId="469D7270" w14:textId="77777777" w:rsidR="003A53F3" w:rsidRPr="00F92330" w:rsidRDefault="003A53F3" w:rsidP="003A53F3">
      <w:pPr>
        <w:pStyle w:val="ListParagraph"/>
        <w:numPr>
          <w:ilvl w:val="1"/>
          <w:numId w:val="7"/>
        </w:numPr>
        <w:spacing w:after="120" w:line="240" w:lineRule="auto"/>
        <w:contextualSpacing w:val="0"/>
        <w:rPr>
          <w:rFonts w:cstheme="minorHAnsi"/>
          <w:sz w:val="24"/>
          <w:szCs w:val="24"/>
        </w:rPr>
      </w:pPr>
      <w:r w:rsidRPr="00F92330">
        <w:rPr>
          <w:rFonts w:cstheme="minorHAnsi"/>
          <w:sz w:val="24"/>
          <w:szCs w:val="24"/>
        </w:rPr>
        <w:t xml:space="preserve">Tenants must provide their landlord a signed “Declaration of Financial Distress” in a timely manner. </w:t>
      </w:r>
    </w:p>
    <w:p w14:paraId="1A544AB7" w14:textId="77777777" w:rsidR="003A53F3" w:rsidRPr="00F92330" w:rsidRDefault="003A53F3" w:rsidP="003A53F3">
      <w:pPr>
        <w:pStyle w:val="ListParagraph"/>
        <w:numPr>
          <w:ilvl w:val="0"/>
          <w:numId w:val="7"/>
        </w:numPr>
        <w:spacing w:after="120" w:line="240" w:lineRule="auto"/>
        <w:contextualSpacing w:val="0"/>
        <w:rPr>
          <w:rFonts w:cstheme="minorHAnsi"/>
          <w:sz w:val="24"/>
          <w:szCs w:val="24"/>
        </w:rPr>
      </w:pPr>
      <w:r w:rsidRPr="00F92330">
        <w:rPr>
          <w:rFonts w:cstheme="minorHAnsi"/>
          <w:sz w:val="24"/>
          <w:szCs w:val="24"/>
        </w:rPr>
        <w:t xml:space="preserve">COVID-19 Tenant Relief Act (SB 91), February 1, 2021. </w:t>
      </w:r>
    </w:p>
    <w:p w14:paraId="2EC30481" w14:textId="77777777" w:rsidR="003A53F3" w:rsidRPr="00F92330" w:rsidRDefault="003A53F3" w:rsidP="003A53F3">
      <w:pPr>
        <w:pStyle w:val="ListParagraph"/>
        <w:numPr>
          <w:ilvl w:val="1"/>
          <w:numId w:val="7"/>
        </w:numPr>
        <w:spacing w:after="120" w:line="240" w:lineRule="auto"/>
        <w:contextualSpacing w:val="0"/>
        <w:rPr>
          <w:rFonts w:cstheme="minorHAnsi"/>
          <w:sz w:val="24"/>
          <w:szCs w:val="24"/>
        </w:rPr>
      </w:pPr>
      <w:r w:rsidRPr="00F92330">
        <w:rPr>
          <w:rFonts w:cstheme="minorHAnsi"/>
          <w:sz w:val="24"/>
          <w:szCs w:val="24"/>
        </w:rPr>
        <w:t xml:space="preserve">Extends the moratorium on evictions through June 30, 2021. </w:t>
      </w:r>
    </w:p>
    <w:p w14:paraId="0A90A148" w14:textId="77777777" w:rsidR="003A53F3" w:rsidRPr="00F92330" w:rsidRDefault="003A53F3" w:rsidP="003A53F3">
      <w:pPr>
        <w:pStyle w:val="ListParagraph"/>
        <w:numPr>
          <w:ilvl w:val="1"/>
          <w:numId w:val="7"/>
        </w:numPr>
        <w:spacing w:after="120" w:line="240" w:lineRule="auto"/>
        <w:contextualSpacing w:val="0"/>
        <w:rPr>
          <w:rFonts w:cstheme="minorHAnsi"/>
          <w:sz w:val="24"/>
          <w:szCs w:val="24"/>
        </w:rPr>
      </w:pPr>
      <w:r w:rsidRPr="00F92330">
        <w:rPr>
          <w:rFonts w:cstheme="minorHAnsi"/>
          <w:sz w:val="24"/>
          <w:szCs w:val="24"/>
        </w:rPr>
        <w:t>Provides additional protections, including providing financial assistance to qualifying landlords and tenants to pay a portion of the tenant’s unpaid rent between March 1, 2020 and March 31, 2021.</w:t>
      </w:r>
    </w:p>
    <w:p w14:paraId="69880784" w14:textId="77777777" w:rsidR="003A53F3" w:rsidRPr="00F92330" w:rsidRDefault="003A53F3" w:rsidP="003A53F3">
      <w:pPr>
        <w:pStyle w:val="ListParagraph"/>
        <w:numPr>
          <w:ilvl w:val="1"/>
          <w:numId w:val="7"/>
        </w:numPr>
        <w:spacing w:after="120" w:line="240" w:lineRule="auto"/>
        <w:contextualSpacing w:val="0"/>
        <w:rPr>
          <w:rFonts w:cstheme="minorHAnsi"/>
          <w:sz w:val="24"/>
          <w:szCs w:val="24"/>
        </w:rPr>
      </w:pPr>
      <w:r w:rsidRPr="00F92330">
        <w:rPr>
          <w:rFonts w:cstheme="minorHAnsi"/>
          <w:sz w:val="24"/>
          <w:szCs w:val="24"/>
        </w:rPr>
        <w:t xml:space="preserve">Tenants must provide a signed declaration </w:t>
      </w:r>
      <w:proofErr w:type="gramStart"/>
      <w:r w:rsidRPr="00F92330">
        <w:rPr>
          <w:rFonts w:cstheme="minorHAnsi"/>
          <w:sz w:val="24"/>
          <w:szCs w:val="24"/>
        </w:rPr>
        <w:t>similar to</w:t>
      </w:r>
      <w:proofErr w:type="gramEnd"/>
      <w:r w:rsidRPr="00F92330">
        <w:rPr>
          <w:rFonts w:cstheme="minorHAnsi"/>
          <w:sz w:val="24"/>
          <w:szCs w:val="24"/>
        </w:rPr>
        <w:t xml:space="preserve"> in AB 3088, but SB 91 includes the language, “AND, on or before June 30, 2021, the tenant pays at least 25% of each rental payment that was due, or will be due, between September 1, 2020, and June 30, 2021.”</w:t>
      </w:r>
    </w:p>
    <w:p w14:paraId="22955448" w14:textId="4E1D2F96" w:rsidR="003A53F3" w:rsidRPr="00F92330" w:rsidRDefault="003A53F3" w:rsidP="003A53F3">
      <w:pPr>
        <w:spacing w:after="120" w:line="240" w:lineRule="auto"/>
        <w:rPr>
          <w:rFonts w:cstheme="minorHAnsi"/>
          <w:sz w:val="24"/>
          <w:szCs w:val="24"/>
        </w:rPr>
      </w:pPr>
      <w:r w:rsidRPr="00F92330">
        <w:rPr>
          <w:rFonts w:cstheme="minorHAnsi"/>
          <w:sz w:val="24"/>
          <w:szCs w:val="24"/>
        </w:rPr>
        <w:t>(Housing Is Key, 2021</w:t>
      </w:r>
      <w:r w:rsidR="00D6081D">
        <w:rPr>
          <w:rFonts w:cstheme="minorHAnsi"/>
          <w:sz w:val="24"/>
          <w:szCs w:val="24"/>
        </w:rPr>
        <w:t>;</w:t>
      </w:r>
      <w:r w:rsidRPr="00F92330">
        <w:rPr>
          <w:rFonts w:cstheme="minorHAnsi"/>
          <w:sz w:val="24"/>
          <w:szCs w:val="24"/>
        </w:rPr>
        <w:t xml:space="preserve"> </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Pr="00F92330">
        <w:rPr>
          <w:rFonts w:cstheme="minorHAnsi"/>
          <w:sz w:val="24"/>
          <w:szCs w:val="24"/>
        </w:rPr>
        <w:t>)</w:t>
      </w:r>
    </w:p>
    <w:p w14:paraId="734FE617" w14:textId="32C2FBB4" w:rsidR="00D902A3" w:rsidRPr="00F92330" w:rsidRDefault="00D902A3" w:rsidP="008420E0">
      <w:pPr>
        <w:spacing w:after="120" w:line="240" w:lineRule="auto"/>
        <w:rPr>
          <w:rFonts w:cstheme="minorHAnsi"/>
          <w:sz w:val="24"/>
          <w:szCs w:val="24"/>
        </w:rPr>
      </w:pPr>
    </w:p>
    <w:p w14:paraId="7453EDF7" w14:textId="77777777" w:rsidR="00D902A3" w:rsidRPr="00F92330" w:rsidRDefault="00D902A3" w:rsidP="00D902A3">
      <w:pPr>
        <w:spacing w:after="120" w:line="240" w:lineRule="auto"/>
        <w:rPr>
          <w:rStyle w:val="IntenseReference"/>
          <w:rFonts w:cstheme="minorHAnsi"/>
          <w:sz w:val="24"/>
          <w:szCs w:val="24"/>
        </w:rPr>
      </w:pPr>
      <w:r w:rsidRPr="00F92330">
        <w:rPr>
          <w:rStyle w:val="IntenseReference"/>
          <w:rFonts w:cstheme="minorHAnsi"/>
          <w:sz w:val="24"/>
          <w:szCs w:val="24"/>
        </w:rPr>
        <w:t>Interviews</w:t>
      </w:r>
    </w:p>
    <w:p w14:paraId="52DD1D88" w14:textId="77777777" w:rsidR="00D902A3" w:rsidRPr="00F92330" w:rsidRDefault="00D902A3" w:rsidP="00D902A3">
      <w:pPr>
        <w:spacing w:after="120" w:line="240" w:lineRule="auto"/>
        <w:rPr>
          <w:rFonts w:cstheme="minorHAnsi"/>
          <w:sz w:val="24"/>
          <w:szCs w:val="24"/>
        </w:rPr>
      </w:pPr>
      <w:r w:rsidRPr="00F92330">
        <w:rPr>
          <w:rFonts w:cstheme="minorHAnsi"/>
          <w:sz w:val="24"/>
          <w:szCs w:val="24"/>
        </w:rPr>
        <w:t>I interviewed five practitioners involved in either mental health treatment or housing advocacy. Four of these practitioners provide point-in-time style services to people who are in the period of housing instability and entering the eviction process. One practitioner operates through a payer of last resort that provides lifelong services to clients. Common themes articulated by these practitioners included mental health impacts that changed between the stage of housing instability and the process of eviction, different approaches toward eviction based on gender, and a lack of access or a failure to take advantage of resources or interventions aimed at stopping evictions or treating mental health issues.</w:t>
      </w:r>
    </w:p>
    <w:p w14:paraId="07C2CD8A" w14:textId="77777777" w:rsidR="00D902A3" w:rsidRPr="00F92330" w:rsidRDefault="00D902A3" w:rsidP="00D902A3">
      <w:pPr>
        <w:spacing w:after="120" w:line="240" w:lineRule="auto"/>
        <w:rPr>
          <w:rFonts w:cstheme="minorHAnsi"/>
          <w:sz w:val="24"/>
          <w:szCs w:val="24"/>
        </w:rPr>
      </w:pPr>
    </w:p>
    <w:p w14:paraId="5753E685" w14:textId="77777777" w:rsidR="00D902A3" w:rsidRPr="00F92330" w:rsidRDefault="00D902A3" w:rsidP="00D902A3">
      <w:pPr>
        <w:spacing w:after="120" w:line="240" w:lineRule="auto"/>
        <w:rPr>
          <w:rStyle w:val="IntenseEmphasis"/>
          <w:rFonts w:cstheme="minorHAnsi"/>
          <w:sz w:val="24"/>
          <w:szCs w:val="24"/>
        </w:rPr>
      </w:pPr>
      <w:r w:rsidRPr="00F92330">
        <w:rPr>
          <w:rStyle w:val="IntenseEmphasis"/>
          <w:rFonts w:cstheme="minorHAnsi"/>
          <w:sz w:val="24"/>
          <w:szCs w:val="24"/>
        </w:rPr>
        <w:t>Mental Health</w:t>
      </w:r>
    </w:p>
    <w:p w14:paraId="48BF6FC8" w14:textId="77777777" w:rsidR="00D902A3" w:rsidRPr="00F92330" w:rsidRDefault="00D902A3" w:rsidP="00D902A3">
      <w:pPr>
        <w:spacing w:after="120" w:line="240" w:lineRule="auto"/>
        <w:rPr>
          <w:rFonts w:cstheme="minorHAnsi"/>
          <w:sz w:val="24"/>
          <w:szCs w:val="24"/>
        </w:rPr>
      </w:pPr>
      <w:r w:rsidRPr="00F92330">
        <w:rPr>
          <w:rFonts w:cstheme="minorHAnsi"/>
          <w:sz w:val="24"/>
          <w:szCs w:val="24"/>
        </w:rPr>
        <w:t>Practitioners who responded to questions about mental health reported:</w:t>
      </w:r>
    </w:p>
    <w:p w14:paraId="733021F9" w14:textId="77777777" w:rsidR="00D902A3" w:rsidRPr="00F92330" w:rsidRDefault="00D902A3" w:rsidP="00D902A3">
      <w:pPr>
        <w:pStyle w:val="ListParagraph"/>
        <w:numPr>
          <w:ilvl w:val="0"/>
          <w:numId w:val="6"/>
        </w:numPr>
        <w:spacing w:after="120" w:line="240" w:lineRule="auto"/>
        <w:contextualSpacing w:val="0"/>
        <w:rPr>
          <w:rFonts w:cstheme="minorHAnsi"/>
          <w:sz w:val="24"/>
          <w:szCs w:val="24"/>
        </w:rPr>
      </w:pPr>
      <w:r w:rsidRPr="00F92330">
        <w:rPr>
          <w:rFonts w:cstheme="minorHAnsi"/>
          <w:sz w:val="24"/>
          <w:szCs w:val="24"/>
        </w:rPr>
        <w:t xml:space="preserve">(Five practitioners) Interacting with clients experiencing trauma, anxiety, and/or depression resulting from the eviction process, or from a combination of housing instability and the eviction process. </w:t>
      </w:r>
    </w:p>
    <w:p w14:paraId="08244FCE" w14:textId="77777777" w:rsidR="00D902A3" w:rsidRPr="00F92330" w:rsidRDefault="00D902A3" w:rsidP="00D902A3">
      <w:pPr>
        <w:pStyle w:val="ListParagraph"/>
        <w:numPr>
          <w:ilvl w:val="0"/>
          <w:numId w:val="6"/>
        </w:numPr>
        <w:spacing w:after="120" w:line="240" w:lineRule="auto"/>
        <w:contextualSpacing w:val="0"/>
        <w:rPr>
          <w:rFonts w:cstheme="minorHAnsi"/>
          <w:sz w:val="24"/>
          <w:szCs w:val="24"/>
        </w:rPr>
      </w:pPr>
      <w:r w:rsidRPr="00F92330">
        <w:rPr>
          <w:rFonts w:cstheme="minorHAnsi"/>
          <w:sz w:val="24"/>
          <w:szCs w:val="24"/>
        </w:rPr>
        <w:t xml:space="preserve">(Five practitioners) Interacting with clients presenting mental health issues before the eviction process began. </w:t>
      </w:r>
    </w:p>
    <w:p w14:paraId="7416556B" w14:textId="77777777" w:rsidR="00D902A3" w:rsidRPr="00F92330" w:rsidRDefault="00D902A3" w:rsidP="00D902A3">
      <w:pPr>
        <w:pStyle w:val="ListParagraph"/>
        <w:numPr>
          <w:ilvl w:val="0"/>
          <w:numId w:val="6"/>
        </w:numPr>
        <w:spacing w:after="120" w:line="240" w:lineRule="auto"/>
        <w:contextualSpacing w:val="0"/>
        <w:rPr>
          <w:rFonts w:cstheme="minorHAnsi"/>
          <w:sz w:val="24"/>
          <w:szCs w:val="24"/>
        </w:rPr>
      </w:pPr>
      <w:r w:rsidRPr="00F92330">
        <w:rPr>
          <w:rFonts w:cstheme="minorHAnsi"/>
          <w:sz w:val="24"/>
          <w:szCs w:val="24"/>
        </w:rPr>
        <w:lastRenderedPageBreak/>
        <w:t xml:space="preserve">(Five practitioners) Themes of increased anxiety after the beginning of the eviction process. </w:t>
      </w:r>
    </w:p>
    <w:p w14:paraId="17D7E3EF" w14:textId="77777777" w:rsidR="00D902A3" w:rsidRPr="00F92330" w:rsidRDefault="00D902A3" w:rsidP="00D902A3">
      <w:pPr>
        <w:pStyle w:val="ListParagraph"/>
        <w:numPr>
          <w:ilvl w:val="0"/>
          <w:numId w:val="6"/>
        </w:numPr>
        <w:spacing w:after="120" w:line="240" w:lineRule="auto"/>
        <w:contextualSpacing w:val="0"/>
        <w:rPr>
          <w:rFonts w:cstheme="minorHAnsi"/>
          <w:sz w:val="24"/>
          <w:szCs w:val="24"/>
        </w:rPr>
      </w:pPr>
      <w:r w:rsidRPr="00F92330">
        <w:rPr>
          <w:rFonts w:cstheme="minorHAnsi"/>
          <w:sz w:val="24"/>
          <w:szCs w:val="24"/>
        </w:rPr>
        <w:t>(Five practitioners) Comorbidities among clients.</w:t>
      </w:r>
    </w:p>
    <w:p w14:paraId="504FF741" w14:textId="77777777" w:rsidR="00D902A3" w:rsidRPr="00F92330" w:rsidRDefault="00D902A3" w:rsidP="00D902A3">
      <w:pPr>
        <w:pStyle w:val="ListParagraph"/>
        <w:numPr>
          <w:ilvl w:val="0"/>
          <w:numId w:val="6"/>
        </w:numPr>
        <w:spacing w:after="120" w:line="240" w:lineRule="auto"/>
        <w:contextualSpacing w:val="0"/>
        <w:rPr>
          <w:rFonts w:cstheme="minorHAnsi"/>
          <w:sz w:val="24"/>
          <w:szCs w:val="24"/>
        </w:rPr>
      </w:pPr>
      <w:r w:rsidRPr="00F92330">
        <w:rPr>
          <w:rFonts w:cstheme="minorHAnsi"/>
          <w:sz w:val="24"/>
          <w:szCs w:val="24"/>
        </w:rPr>
        <w:t xml:space="preserve">(Three practitioners) Attitude and behavior of clients shifted toward resilience during the eviction process despite themes of anxiety. </w:t>
      </w:r>
    </w:p>
    <w:p w14:paraId="26CD51A1" w14:textId="77777777" w:rsidR="00D902A3" w:rsidRPr="00F92330" w:rsidRDefault="00D902A3" w:rsidP="00D902A3">
      <w:pPr>
        <w:pStyle w:val="ListParagraph"/>
        <w:numPr>
          <w:ilvl w:val="0"/>
          <w:numId w:val="6"/>
        </w:numPr>
        <w:spacing w:after="120" w:line="240" w:lineRule="auto"/>
        <w:contextualSpacing w:val="0"/>
        <w:rPr>
          <w:rFonts w:cstheme="minorHAnsi"/>
          <w:sz w:val="24"/>
          <w:szCs w:val="24"/>
        </w:rPr>
      </w:pPr>
      <w:r w:rsidRPr="00F92330">
        <w:rPr>
          <w:rFonts w:cstheme="minorHAnsi"/>
          <w:sz w:val="24"/>
          <w:szCs w:val="24"/>
        </w:rPr>
        <w:t xml:space="preserve">(Three practitioners) reported that clients had reported suicides in their immediate social circles. Three out of five practitioners discussed themes of substance abuse </w:t>
      </w:r>
      <w:proofErr w:type="gramStart"/>
      <w:r w:rsidRPr="00F92330">
        <w:rPr>
          <w:rFonts w:cstheme="minorHAnsi"/>
          <w:sz w:val="24"/>
          <w:szCs w:val="24"/>
        </w:rPr>
        <w:t>as a result of</w:t>
      </w:r>
      <w:proofErr w:type="gramEnd"/>
      <w:r w:rsidRPr="00F92330">
        <w:rPr>
          <w:rFonts w:cstheme="minorHAnsi"/>
          <w:sz w:val="24"/>
          <w:szCs w:val="24"/>
        </w:rPr>
        <w:t xml:space="preserve"> substandard housing compounded by the eviction process. Two practitioners reported that substance abuse frequently occurred because of feelings of hopelessness or depression.</w:t>
      </w:r>
    </w:p>
    <w:p w14:paraId="2DC15F3D" w14:textId="77777777" w:rsidR="00D902A3" w:rsidRPr="00F92330" w:rsidRDefault="00D902A3" w:rsidP="00D902A3">
      <w:pPr>
        <w:spacing w:after="120" w:line="240" w:lineRule="auto"/>
        <w:rPr>
          <w:rFonts w:cstheme="minorHAnsi"/>
          <w:sz w:val="24"/>
          <w:szCs w:val="24"/>
        </w:rPr>
      </w:pPr>
    </w:p>
    <w:p w14:paraId="6E6F6127" w14:textId="77777777" w:rsidR="00D902A3" w:rsidRPr="00F92330" w:rsidRDefault="00D902A3" w:rsidP="00D902A3">
      <w:pPr>
        <w:spacing w:after="120" w:line="240" w:lineRule="auto"/>
        <w:rPr>
          <w:rStyle w:val="IntenseEmphasis"/>
          <w:rFonts w:cstheme="minorHAnsi"/>
          <w:sz w:val="24"/>
          <w:szCs w:val="24"/>
        </w:rPr>
      </w:pPr>
      <w:r w:rsidRPr="00F92330">
        <w:rPr>
          <w:rStyle w:val="IntenseEmphasis"/>
          <w:rFonts w:cstheme="minorHAnsi"/>
          <w:sz w:val="24"/>
          <w:szCs w:val="24"/>
        </w:rPr>
        <w:t>Gender differences</w:t>
      </w:r>
    </w:p>
    <w:p w14:paraId="41EF05A3" w14:textId="77777777" w:rsidR="00D902A3" w:rsidRPr="00F92330" w:rsidRDefault="00D902A3" w:rsidP="00D902A3">
      <w:pPr>
        <w:spacing w:after="120" w:line="240" w:lineRule="auto"/>
        <w:rPr>
          <w:rFonts w:cstheme="minorHAnsi"/>
          <w:sz w:val="24"/>
          <w:szCs w:val="24"/>
        </w:rPr>
      </w:pPr>
      <w:r w:rsidRPr="00F92330">
        <w:rPr>
          <w:rFonts w:cstheme="minorHAnsi"/>
          <w:sz w:val="24"/>
          <w:szCs w:val="24"/>
        </w:rPr>
        <w:t>Practitioners who responded to questions about gender differences reported:</w:t>
      </w:r>
    </w:p>
    <w:p w14:paraId="09B80A6C"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(Four practitioners) The majority of their clients were women.</w:t>
      </w:r>
    </w:p>
    <w:p w14:paraId="74747A4B" w14:textId="77777777" w:rsidR="00D902A3" w:rsidRPr="00F92330" w:rsidRDefault="00D902A3" w:rsidP="00D902A3">
      <w:pPr>
        <w:pStyle w:val="ListParagraph"/>
        <w:spacing w:after="120" w:line="240" w:lineRule="auto"/>
        <w:contextualSpacing w:val="0"/>
        <w:rPr>
          <w:rFonts w:cstheme="minorHAnsi"/>
          <w:sz w:val="24"/>
          <w:szCs w:val="24"/>
        </w:rPr>
      </w:pPr>
      <w:r w:rsidRPr="00F92330">
        <w:rPr>
          <w:rFonts w:cstheme="minorHAnsi"/>
          <w:sz w:val="24"/>
          <w:szCs w:val="24"/>
        </w:rPr>
        <w:t xml:space="preserve"> (five practitioners) Those women were in majority mothers with children currently living with them. </w:t>
      </w:r>
    </w:p>
    <w:p w14:paraId="33847DC4"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(Two practitioners) Men ask for less help, and that women experience more anxiety. </w:t>
      </w:r>
    </w:p>
    <w:p w14:paraId="7CD99F0B"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(One practitioner) The presence of children increased stress in anxiety for </w:t>
      </w:r>
      <w:proofErr w:type="gramStart"/>
      <w:r w:rsidRPr="00F92330">
        <w:rPr>
          <w:rFonts w:cstheme="minorHAnsi"/>
          <w:sz w:val="24"/>
          <w:szCs w:val="24"/>
        </w:rPr>
        <w:t>women, but</w:t>
      </w:r>
      <w:proofErr w:type="gramEnd"/>
      <w:r w:rsidRPr="00F92330">
        <w:rPr>
          <w:rFonts w:cstheme="minorHAnsi"/>
          <w:sz w:val="24"/>
          <w:szCs w:val="24"/>
        </w:rPr>
        <w:t xml:space="preserve"> lowered the chances of suicide.</w:t>
      </w:r>
    </w:p>
    <w:p w14:paraId="43B756D7" w14:textId="77777777" w:rsidR="00D902A3" w:rsidRPr="00F92330" w:rsidRDefault="00D902A3" w:rsidP="00D902A3">
      <w:pPr>
        <w:spacing w:after="120" w:line="240" w:lineRule="auto"/>
        <w:rPr>
          <w:rFonts w:cstheme="minorHAnsi"/>
          <w:sz w:val="24"/>
          <w:szCs w:val="24"/>
        </w:rPr>
      </w:pPr>
    </w:p>
    <w:p w14:paraId="6B8B5B08" w14:textId="77777777" w:rsidR="00D902A3" w:rsidRPr="00F92330" w:rsidRDefault="00D902A3" w:rsidP="00D902A3">
      <w:pPr>
        <w:spacing w:after="120" w:line="240" w:lineRule="auto"/>
        <w:rPr>
          <w:rStyle w:val="IntenseEmphasis"/>
          <w:rFonts w:cstheme="minorHAnsi"/>
          <w:sz w:val="24"/>
          <w:szCs w:val="24"/>
        </w:rPr>
      </w:pPr>
      <w:r w:rsidRPr="00F92330">
        <w:rPr>
          <w:rStyle w:val="IntenseEmphasis"/>
          <w:rFonts w:cstheme="minorHAnsi"/>
          <w:sz w:val="24"/>
          <w:szCs w:val="24"/>
        </w:rPr>
        <w:t>Resources</w:t>
      </w:r>
    </w:p>
    <w:p w14:paraId="5C303572" w14:textId="77777777" w:rsidR="00D902A3" w:rsidRPr="00F92330" w:rsidRDefault="00D902A3" w:rsidP="00D902A3">
      <w:pPr>
        <w:spacing w:after="120" w:line="240" w:lineRule="auto"/>
        <w:rPr>
          <w:rFonts w:cstheme="minorHAnsi"/>
          <w:sz w:val="24"/>
          <w:szCs w:val="24"/>
        </w:rPr>
      </w:pPr>
      <w:r w:rsidRPr="00F92330">
        <w:rPr>
          <w:rFonts w:cstheme="minorHAnsi"/>
          <w:sz w:val="24"/>
          <w:szCs w:val="24"/>
        </w:rPr>
        <w:t>Practitioners who responded to questions about resources available to tenants reported:</w:t>
      </w:r>
    </w:p>
    <w:p w14:paraId="407F33DA"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(Three practitioners) Clients had little or no interaction with intervention services before engaging with their organization. </w:t>
      </w:r>
    </w:p>
    <w:p w14:paraId="6AF4F913"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(Five practitioners) Earlier interventions worked better than later interventions in the eviction process. Attempts to access services and a failure to access those services was a common theme. </w:t>
      </w:r>
    </w:p>
    <w:p w14:paraId="530447A9"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(Five practitioners) All clients they interacted with were living in substandard housing, living with relatives in a state of homelessness, or were homeless living on the streets. </w:t>
      </w:r>
    </w:p>
    <w:p w14:paraId="663DFEAD"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(Five practitioners) Deficiently funded social services and a lack of information for clients. </w:t>
      </w:r>
    </w:p>
    <w:p w14:paraId="492C5294"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 xml:space="preserve">(Three practitioners) Supportive housing complexes often carried out evictions as well. </w:t>
      </w:r>
    </w:p>
    <w:p w14:paraId="4468E649" w14:textId="77777777" w:rsidR="00D902A3" w:rsidRPr="00F92330" w:rsidRDefault="00D902A3" w:rsidP="00D902A3">
      <w:pPr>
        <w:pStyle w:val="ListParagraph"/>
        <w:numPr>
          <w:ilvl w:val="0"/>
          <w:numId w:val="12"/>
        </w:numPr>
        <w:spacing w:after="120" w:line="240" w:lineRule="auto"/>
        <w:contextualSpacing w:val="0"/>
        <w:rPr>
          <w:rFonts w:cstheme="minorHAnsi"/>
          <w:sz w:val="24"/>
          <w:szCs w:val="24"/>
        </w:rPr>
      </w:pPr>
      <w:r w:rsidRPr="00F92330">
        <w:rPr>
          <w:rFonts w:cstheme="minorHAnsi"/>
          <w:sz w:val="24"/>
          <w:szCs w:val="24"/>
        </w:rPr>
        <w:t>(Two practitioners) Mental health services in supportive housing are not expansive enough to address clients’ needs.</w:t>
      </w:r>
    </w:p>
    <w:p w14:paraId="7D3EFBEF" w14:textId="77777777" w:rsidR="00D902A3" w:rsidRPr="00F92330" w:rsidRDefault="00D902A3" w:rsidP="008420E0">
      <w:pPr>
        <w:spacing w:after="120" w:line="240" w:lineRule="auto"/>
        <w:rPr>
          <w:rFonts w:cstheme="minorHAnsi"/>
          <w:sz w:val="24"/>
          <w:szCs w:val="24"/>
        </w:rPr>
      </w:pPr>
    </w:p>
    <w:p w14:paraId="00CB6E81" w14:textId="7EB3EEC2" w:rsidR="00FA3B09" w:rsidRPr="00F92330" w:rsidRDefault="001504FB" w:rsidP="008420E0">
      <w:pPr>
        <w:spacing w:after="120" w:line="240" w:lineRule="auto"/>
        <w:rPr>
          <w:rStyle w:val="IntenseReference"/>
          <w:rFonts w:cstheme="minorHAnsi"/>
          <w:sz w:val="24"/>
          <w:szCs w:val="24"/>
        </w:rPr>
      </w:pPr>
      <w:r w:rsidRPr="00F92330">
        <w:rPr>
          <w:rFonts w:cstheme="minorHAnsi"/>
          <w:sz w:val="24"/>
          <w:szCs w:val="24"/>
        </w:rPr>
        <w:br w:type="page"/>
      </w:r>
      <w:r w:rsidR="00E7254B" w:rsidRPr="00F92330">
        <w:rPr>
          <w:rStyle w:val="IntenseReference"/>
          <w:rFonts w:cstheme="minorHAnsi"/>
          <w:sz w:val="24"/>
          <w:szCs w:val="24"/>
        </w:rPr>
        <w:lastRenderedPageBreak/>
        <w:t>Findings from Prior Research</w:t>
      </w:r>
      <w:r w:rsidR="00FA3B09" w:rsidRPr="00F92330">
        <w:rPr>
          <w:rStyle w:val="IntenseReference"/>
          <w:rFonts w:cstheme="minorHAnsi"/>
          <w:sz w:val="24"/>
          <w:szCs w:val="24"/>
        </w:rPr>
        <w:t xml:space="preserve">: </w:t>
      </w:r>
      <w:r w:rsidR="00E7254B" w:rsidRPr="00F92330">
        <w:rPr>
          <w:rStyle w:val="IntenseReference"/>
          <w:rFonts w:cstheme="minorHAnsi"/>
          <w:sz w:val="24"/>
          <w:szCs w:val="24"/>
        </w:rPr>
        <w:t>T</w:t>
      </w:r>
      <w:r w:rsidR="00FA3B09" w:rsidRPr="00F92330">
        <w:rPr>
          <w:rStyle w:val="IntenseReference"/>
          <w:rFonts w:cstheme="minorHAnsi"/>
          <w:sz w:val="24"/>
          <w:szCs w:val="24"/>
        </w:rPr>
        <w:t xml:space="preserve">he </w:t>
      </w:r>
      <w:r w:rsidR="00E7254B" w:rsidRPr="00F92330">
        <w:rPr>
          <w:rStyle w:val="IntenseReference"/>
          <w:rFonts w:cstheme="minorHAnsi"/>
          <w:sz w:val="24"/>
          <w:szCs w:val="24"/>
        </w:rPr>
        <w:t>V</w:t>
      </w:r>
      <w:r w:rsidR="00FA3B09" w:rsidRPr="00F92330">
        <w:rPr>
          <w:rStyle w:val="IntenseReference"/>
          <w:rFonts w:cstheme="minorHAnsi"/>
          <w:sz w:val="24"/>
          <w:szCs w:val="24"/>
        </w:rPr>
        <w:t xml:space="preserve">icious </w:t>
      </w:r>
      <w:r w:rsidR="00E7254B" w:rsidRPr="00F92330">
        <w:rPr>
          <w:rStyle w:val="IntenseReference"/>
          <w:rFonts w:cstheme="minorHAnsi"/>
          <w:sz w:val="24"/>
          <w:szCs w:val="24"/>
        </w:rPr>
        <w:t>C</w:t>
      </w:r>
      <w:r w:rsidR="00FA3B09" w:rsidRPr="00F92330">
        <w:rPr>
          <w:rStyle w:val="IntenseReference"/>
          <w:rFonts w:cstheme="minorHAnsi"/>
          <w:sz w:val="24"/>
          <w:szCs w:val="24"/>
        </w:rPr>
        <w:t>ycle</w:t>
      </w:r>
    </w:p>
    <w:p w14:paraId="175B0BFB" w14:textId="3893DE30" w:rsidR="00FA3B09" w:rsidRPr="00F92330" w:rsidRDefault="00FA3B09" w:rsidP="008420E0">
      <w:pPr>
        <w:spacing w:after="120" w:line="240" w:lineRule="auto"/>
        <w:rPr>
          <w:rFonts w:cstheme="minorHAnsi"/>
          <w:sz w:val="24"/>
          <w:szCs w:val="24"/>
        </w:rPr>
      </w:pPr>
      <w:r w:rsidRPr="00F92330">
        <w:rPr>
          <w:rFonts w:cstheme="minorHAnsi"/>
          <w:sz w:val="24"/>
          <w:szCs w:val="24"/>
        </w:rPr>
        <w:t>There is a clear correlation between people living in substandard conditions and mental health issues.</w:t>
      </w:r>
      <w:r w:rsidR="00886A49" w:rsidRPr="00F92330">
        <w:rPr>
          <w:rFonts w:cstheme="minorHAnsi"/>
          <w:sz w:val="24"/>
          <w:szCs w:val="24"/>
        </w:rPr>
        <w:t xml:space="preserve"> Substandard housing conditions increase the frequency of and exacerbate existing mental health disorders, and people with mental health disorders are also more likely to end up in substandard housing conditions.</w:t>
      </w:r>
      <w:r w:rsidRPr="00F92330">
        <w:rPr>
          <w:rFonts w:cstheme="minorHAnsi"/>
          <w:sz w:val="24"/>
          <w:szCs w:val="24"/>
        </w:rPr>
        <w:t xml:space="preserve"> Residents frequently report long-standing mental health issues which sometimes start after moving into substandard living conditions, and which sometimes predate substandard living conditions. Others have generationally inherited neighborhood and housing characteristics that translate into mental health disorders which in turn force these individuals to stagnate or live in more deleterious conditions (</w:t>
      </w:r>
      <w:r w:rsidR="009A6F26" w:rsidRPr="00F92330">
        <w:rPr>
          <w:rFonts w:cstheme="minorHAnsi"/>
          <w:sz w:val="24"/>
          <w:szCs w:val="24"/>
        </w:rPr>
        <w:t>Holding et al, 2019</w:t>
      </w:r>
      <w:r w:rsidRPr="00F92330">
        <w:rPr>
          <w:rFonts w:cstheme="minorHAnsi"/>
          <w:sz w:val="24"/>
          <w:szCs w:val="24"/>
        </w:rPr>
        <w:t xml:space="preserve">, </w:t>
      </w:r>
      <w:r w:rsidR="009D6590" w:rsidRPr="00F92330">
        <w:rPr>
          <w:rFonts w:eastAsia="Times New Roman" w:cstheme="minorHAnsi"/>
          <w:color w:val="000000"/>
          <w:sz w:val="24"/>
          <w:szCs w:val="24"/>
        </w:rPr>
        <w:t>Phinney et al, 2007</w:t>
      </w:r>
      <w:r w:rsidRPr="00F92330">
        <w:rPr>
          <w:rFonts w:cstheme="minorHAnsi"/>
          <w:sz w:val="24"/>
          <w:szCs w:val="24"/>
        </w:rPr>
        <w:t xml:space="preserve">). </w:t>
      </w:r>
    </w:p>
    <w:p w14:paraId="3604CDC9" w14:textId="16D84D54" w:rsidR="00FA3B09" w:rsidRPr="00F92330" w:rsidRDefault="00FA3B09" w:rsidP="008420E0">
      <w:pPr>
        <w:spacing w:after="120" w:line="240" w:lineRule="auto"/>
        <w:rPr>
          <w:rFonts w:cstheme="minorHAnsi"/>
          <w:sz w:val="24"/>
          <w:szCs w:val="24"/>
        </w:rPr>
      </w:pPr>
      <w:r w:rsidRPr="00F92330">
        <w:rPr>
          <w:rFonts w:cstheme="minorHAnsi"/>
          <w:sz w:val="24"/>
          <w:szCs w:val="24"/>
        </w:rPr>
        <w:t xml:space="preserve">Once </w:t>
      </w:r>
      <w:r w:rsidR="00E7254B" w:rsidRPr="00F92330">
        <w:rPr>
          <w:rFonts w:cstheme="minorHAnsi"/>
          <w:sz w:val="24"/>
          <w:szCs w:val="24"/>
        </w:rPr>
        <w:t xml:space="preserve">people are </w:t>
      </w:r>
      <w:r w:rsidRPr="00F92330">
        <w:rPr>
          <w:rFonts w:cstheme="minorHAnsi"/>
          <w:sz w:val="24"/>
          <w:szCs w:val="24"/>
        </w:rPr>
        <w:t>in substandard housing conditions, however, it is difficult for them to get out of those conditions, and difficult for them to seek help for their mental health issues. Frequently people do not know how to seek treatment, cannot find treatment that is affordable, or do not have access to treatment. The failure to find treatment combined with a constant fight to tackle substandard housing issues frequently increases symptoms of anxiety and depression among tenants, which may create comorbidities with other pre-existing mental health issues such as substance abuse, PTSD, or domestic unrest (</w:t>
      </w:r>
      <w:r w:rsidR="009A6F26" w:rsidRPr="00F92330">
        <w:rPr>
          <w:rFonts w:cstheme="minorHAnsi"/>
          <w:sz w:val="24"/>
          <w:szCs w:val="24"/>
        </w:rPr>
        <w:t>Holding et al, 2019</w:t>
      </w:r>
      <w:r w:rsidRPr="00F92330">
        <w:rPr>
          <w:rFonts w:cstheme="minorHAnsi"/>
          <w:sz w:val="24"/>
          <w:szCs w:val="24"/>
        </w:rPr>
        <w:t xml:space="preserve">, </w:t>
      </w:r>
      <w:r w:rsidR="009D6590" w:rsidRPr="00F92330">
        <w:rPr>
          <w:rFonts w:eastAsia="Times New Roman" w:cstheme="minorHAnsi"/>
          <w:color w:val="000000"/>
          <w:sz w:val="24"/>
          <w:szCs w:val="24"/>
        </w:rPr>
        <w:t>Phinney et al, 2007</w:t>
      </w:r>
      <w:r w:rsidRPr="00F92330">
        <w:rPr>
          <w:rFonts w:cstheme="minorHAnsi"/>
          <w:sz w:val="24"/>
          <w:szCs w:val="24"/>
        </w:rPr>
        <w:t>).</w:t>
      </w:r>
    </w:p>
    <w:p w14:paraId="71576C59" w14:textId="5382ECF7" w:rsidR="00FA3B09" w:rsidRPr="00F92330" w:rsidRDefault="00FA3B09" w:rsidP="008420E0">
      <w:pPr>
        <w:spacing w:after="120" w:line="240" w:lineRule="auto"/>
        <w:rPr>
          <w:rFonts w:cstheme="minorHAnsi"/>
          <w:sz w:val="24"/>
          <w:szCs w:val="24"/>
        </w:rPr>
      </w:pPr>
      <w:r w:rsidRPr="00F92330">
        <w:rPr>
          <w:rFonts w:cstheme="minorHAnsi"/>
          <w:sz w:val="24"/>
          <w:szCs w:val="24"/>
        </w:rPr>
        <w:t xml:space="preserve">Common themes among participants across studies on substandard housing situations were anxiety, depression, substance abuse, previously existing trauma, and schizophrenic related disorders. In one study that screened people during the eviction process, anxiety, depression, </w:t>
      </w:r>
      <w:proofErr w:type="gramStart"/>
      <w:r w:rsidRPr="00F92330">
        <w:rPr>
          <w:rFonts w:cstheme="minorHAnsi"/>
          <w:sz w:val="24"/>
          <w:szCs w:val="24"/>
        </w:rPr>
        <w:t>PTSD</w:t>
      </w:r>
      <w:proofErr w:type="gramEnd"/>
      <w:r w:rsidRPr="00F92330">
        <w:rPr>
          <w:rFonts w:cstheme="minorHAnsi"/>
          <w:sz w:val="24"/>
          <w:szCs w:val="24"/>
        </w:rPr>
        <w:t xml:space="preserve"> and suicidal ideation occurred in up to 40%, 33%, 36%, and 17% respectively. A third of those interviewed presented depressive symptoms, and more than a third presented PTSD and anxiety symptoms. Throughout the process of this study, rates decreased slightly over the course of 9 months, which illustrates that these mental health issues were present before the eviction process began (</w:t>
      </w:r>
      <w:r w:rsidR="00213711" w:rsidRPr="00F92330">
        <w:rPr>
          <w:rFonts w:cstheme="minorHAnsi"/>
          <w:sz w:val="24"/>
          <w:szCs w:val="24"/>
        </w:rPr>
        <w:t>Tsai et al, 2020</w:t>
      </w:r>
      <w:r w:rsidRPr="00F92330">
        <w:rPr>
          <w:rFonts w:cstheme="minorHAnsi"/>
          <w:sz w:val="24"/>
          <w:szCs w:val="24"/>
        </w:rPr>
        <w:t>).</w:t>
      </w:r>
    </w:p>
    <w:p w14:paraId="41E49010" w14:textId="0FB2E9A9" w:rsidR="00FA3B09" w:rsidRPr="00F92330" w:rsidRDefault="00FA3B09" w:rsidP="008420E0">
      <w:pPr>
        <w:spacing w:after="120" w:line="240" w:lineRule="auto"/>
        <w:rPr>
          <w:rFonts w:eastAsia="Times New Roman" w:cstheme="minorHAnsi"/>
          <w:b/>
          <w:bCs/>
          <w:color w:val="000000"/>
          <w:sz w:val="24"/>
          <w:szCs w:val="24"/>
        </w:rPr>
      </w:pPr>
      <w:r w:rsidRPr="00F92330">
        <w:rPr>
          <w:rFonts w:cstheme="minorHAnsi"/>
          <w:sz w:val="24"/>
          <w:szCs w:val="24"/>
        </w:rPr>
        <w:t xml:space="preserve">Similar themes appeared in studies where researchers interviewed individuals in public housing. In one study nearly every tenant interviewed described their health and wellbeing as poor. Five of those interviewed reported depression, only one of whom was receiving counseling, while other tenants reported anxiety, </w:t>
      </w:r>
      <w:proofErr w:type="gramStart"/>
      <w:r w:rsidRPr="00F92330">
        <w:rPr>
          <w:rFonts w:cstheme="minorHAnsi"/>
          <w:sz w:val="24"/>
          <w:szCs w:val="24"/>
        </w:rPr>
        <w:t>schizophrenia</w:t>
      </w:r>
      <w:proofErr w:type="gramEnd"/>
      <w:r w:rsidRPr="00F92330">
        <w:rPr>
          <w:rFonts w:cstheme="minorHAnsi"/>
          <w:sz w:val="24"/>
          <w:szCs w:val="24"/>
        </w:rPr>
        <w:t xml:space="preserve"> and agoraphobia (</w:t>
      </w:r>
      <w:r w:rsidR="009A6F26" w:rsidRPr="00F92330">
        <w:rPr>
          <w:rFonts w:cstheme="minorHAnsi"/>
          <w:sz w:val="24"/>
          <w:szCs w:val="24"/>
        </w:rPr>
        <w:t>HOLDING ET AL, 2019</w:t>
      </w:r>
      <w:r w:rsidRPr="00F92330">
        <w:rPr>
          <w:rFonts w:cstheme="minorHAnsi"/>
          <w:sz w:val="24"/>
          <w:szCs w:val="24"/>
        </w:rPr>
        <w:t xml:space="preserve">). A complicated relationship </w:t>
      </w:r>
      <w:proofErr w:type="gramStart"/>
      <w:r w:rsidRPr="00F92330">
        <w:rPr>
          <w:rFonts w:cstheme="minorHAnsi"/>
          <w:sz w:val="24"/>
          <w:szCs w:val="24"/>
        </w:rPr>
        <w:t>was revealed</w:t>
      </w:r>
      <w:proofErr w:type="gramEnd"/>
      <w:r w:rsidRPr="00F92330">
        <w:rPr>
          <w:rFonts w:cstheme="minorHAnsi"/>
          <w:sz w:val="24"/>
          <w:szCs w:val="24"/>
        </w:rPr>
        <w:t xml:space="preserve"> by multiple studies on public or social housing in which researchers suggested that perceptions of housing quality, community safety, and lack of services had deleterious effects on mental health (</w:t>
      </w:r>
      <w:r w:rsidR="009A6F26" w:rsidRPr="00F92330">
        <w:rPr>
          <w:rFonts w:cstheme="minorHAnsi"/>
          <w:sz w:val="24"/>
          <w:szCs w:val="24"/>
        </w:rPr>
        <w:t>HOLDING ET AL, 2019</w:t>
      </w:r>
      <w:r w:rsidRPr="00F92330">
        <w:rPr>
          <w:rFonts w:cstheme="minorHAnsi"/>
          <w:sz w:val="24"/>
          <w:szCs w:val="24"/>
        </w:rPr>
        <w:t xml:space="preserve">). In a study of former welfare recipients, researchers found correlations with psychiatric disorders, substance abuse, and domestic violence among other symptoms </w:t>
      </w:r>
      <w:r w:rsidRPr="00F92330">
        <w:rPr>
          <w:rFonts w:eastAsia="Times New Roman" w:cstheme="minorHAnsi"/>
          <w:color w:val="000000"/>
          <w:sz w:val="24"/>
          <w:szCs w:val="24"/>
        </w:rPr>
        <w:t>(</w:t>
      </w:r>
      <w:r w:rsidR="00213711" w:rsidRPr="00F92330">
        <w:rPr>
          <w:rFonts w:eastAsia="Times New Roman" w:cstheme="minorHAnsi"/>
          <w:color w:val="000000"/>
          <w:sz w:val="24"/>
          <w:szCs w:val="24"/>
        </w:rPr>
        <w:t>Phinney et al, 2007</w:t>
      </w:r>
      <w:r w:rsidRPr="00F92330">
        <w:rPr>
          <w:rFonts w:eastAsia="Times New Roman" w:cstheme="minorHAnsi"/>
          <w:color w:val="000000"/>
          <w:sz w:val="24"/>
          <w:szCs w:val="24"/>
        </w:rPr>
        <w:t>).</w:t>
      </w:r>
    </w:p>
    <w:p w14:paraId="787787DB" w14:textId="149CD965" w:rsidR="00FA3B09" w:rsidRPr="00F92330" w:rsidRDefault="00FA3B09" w:rsidP="008420E0">
      <w:pPr>
        <w:spacing w:after="120" w:line="240" w:lineRule="auto"/>
        <w:rPr>
          <w:rFonts w:eastAsia="Times New Roman" w:cstheme="minorHAnsi"/>
          <w:b/>
          <w:bCs/>
          <w:color w:val="000000"/>
          <w:sz w:val="24"/>
          <w:szCs w:val="24"/>
        </w:rPr>
      </w:pPr>
      <w:r w:rsidRPr="00F92330">
        <w:rPr>
          <w:rFonts w:eastAsia="Times New Roman" w:cstheme="minorHAnsi"/>
          <w:color w:val="000000"/>
          <w:sz w:val="24"/>
          <w:szCs w:val="24"/>
        </w:rPr>
        <w:t xml:space="preserve">Notably, these themes were present in a study on veterans in supportive housing as well. Researchers in one study found that any veterans with drug problems receiving care were more likely to </w:t>
      </w:r>
      <w:proofErr w:type="gramStart"/>
      <w:r w:rsidRPr="00F92330">
        <w:rPr>
          <w:rFonts w:eastAsia="Times New Roman" w:cstheme="minorHAnsi"/>
          <w:color w:val="000000"/>
          <w:sz w:val="24"/>
          <w:szCs w:val="24"/>
        </w:rPr>
        <w:t>be evicted</w:t>
      </w:r>
      <w:proofErr w:type="gramEnd"/>
      <w:r w:rsidRPr="00F92330">
        <w:rPr>
          <w:rFonts w:eastAsia="Times New Roman" w:cstheme="minorHAnsi"/>
          <w:color w:val="000000"/>
          <w:sz w:val="24"/>
          <w:szCs w:val="24"/>
        </w:rPr>
        <w:t xml:space="preserve">. Veterans who had accessed some sort of medical or social service within 30 to 90 days of their eviction were 5 times more likely to </w:t>
      </w:r>
      <w:proofErr w:type="gramStart"/>
      <w:r w:rsidRPr="00F92330">
        <w:rPr>
          <w:rFonts w:eastAsia="Times New Roman" w:cstheme="minorHAnsi"/>
          <w:color w:val="000000"/>
          <w:sz w:val="24"/>
          <w:szCs w:val="24"/>
        </w:rPr>
        <w:t>be evicted</w:t>
      </w:r>
      <w:proofErr w:type="gramEnd"/>
      <w:r w:rsidRPr="00F92330">
        <w:rPr>
          <w:rFonts w:eastAsia="Times New Roman" w:cstheme="minorHAnsi"/>
          <w:color w:val="000000"/>
          <w:sz w:val="24"/>
          <w:szCs w:val="24"/>
        </w:rPr>
        <w:t xml:space="preserve">. When they accessed those services within 30 days or less, they were 9 times more likely to </w:t>
      </w:r>
      <w:proofErr w:type="gramStart"/>
      <w:r w:rsidRPr="00F92330">
        <w:rPr>
          <w:rFonts w:eastAsia="Times New Roman" w:cstheme="minorHAnsi"/>
          <w:color w:val="000000"/>
          <w:sz w:val="24"/>
          <w:szCs w:val="24"/>
        </w:rPr>
        <w:t>be evicted</w:t>
      </w:r>
      <w:proofErr w:type="gramEnd"/>
      <w:r w:rsidRPr="00F92330">
        <w:rPr>
          <w:rFonts w:eastAsia="Times New Roman" w:cstheme="minorHAnsi"/>
          <w:color w:val="000000"/>
          <w:sz w:val="24"/>
          <w:szCs w:val="24"/>
        </w:rPr>
        <w:t xml:space="preserve">. Among evictees, 2.7% accessed mental health inpatient services, and 4.1% accessed substance abuse inpatient services, while .1% accessed these services who </w:t>
      </w:r>
      <w:proofErr w:type="gramStart"/>
      <w:r w:rsidRPr="00F92330">
        <w:rPr>
          <w:rFonts w:eastAsia="Times New Roman" w:cstheme="minorHAnsi"/>
          <w:color w:val="000000"/>
          <w:sz w:val="24"/>
          <w:szCs w:val="24"/>
        </w:rPr>
        <w:t>were not evicted</w:t>
      </w:r>
      <w:proofErr w:type="gramEnd"/>
      <w:r w:rsidRPr="00F92330">
        <w:rPr>
          <w:rFonts w:eastAsia="Times New Roman" w:cstheme="minorHAnsi"/>
          <w:color w:val="000000"/>
          <w:sz w:val="24"/>
          <w:szCs w:val="24"/>
        </w:rPr>
        <w:t xml:space="preserve">. Most importantly, suicidal </w:t>
      </w:r>
      <w:r w:rsidRPr="00F92330">
        <w:rPr>
          <w:rFonts w:eastAsia="Times New Roman" w:cstheme="minorHAnsi"/>
          <w:color w:val="000000"/>
          <w:sz w:val="24"/>
          <w:szCs w:val="24"/>
        </w:rPr>
        <w:lastRenderedPageBreak/>
        <w:t>behaviors were 7 times higher for veterans facing eviction from supportive housing, than veterans who accomplished their goals and moved out on their own volition (</w:t>
      </w:r>
      <w:r w:rsidR="000B6500" w:rsidRPr="00F92330">
        <w:rPr>
          <w:rFonts w:cstheme="minorHAnsi"/>
          <w:sz w:val="24"/>
          <w:szCs w:val="24"/>
        </w:rPr>
        <w:t>Montgomery et al, 2016</w:t>
      </w:r>
      <w:r w:rsidRPr="00F92330">
        <w:rPr>
          <w:rFonts w:eastAsia="Times New Roman" w:cstheme="minorHAnsi"/>
          <w:color w:val="000000"/>
          <w:sz w:val="24"/>
          <w:szCs w:val="24"/>
        </w:rPr>
        <w:t>)</w:t>
      </w:r>
      <w:r w:rsidR="00927C03" w:rsidRPr="00F92330">
        <w:rPr>
          <w:rFonts w:eastAsia="Times New Roman" w:cstheme="minorHAnsi"/>
          <w:color w:val="000000"/>
          <w:sz w:val="24"/>
          <w:szCs w:val="24"/>
        </w:rPr>
        <w:t>.</w:t>
      </w:r>
    </w:p>
    <w:p w14:paraId="1CA3D8CB" w14:textId="2F7202B5" w:rsidR="00FA3B09" w:rsidRPr="00F92330" w:rsidRDefault="00FA3B09" w:rsidP="008420E0">
      <w:pPr>
        <w:spacing w:after="120" w:line="240" w:lineRule="auto"/>
        <w:rPr>
          <w:rFonts w:cstheme="minorHAnsi"/>
          <w:sz w:val="24"/>
          <w:szCs w:val="24"/>
        </w:rPr>
      </w:pPr>
      <w:r w:rsidRPr="00F92330">
        <w:rPr>
          <w:rFonts w:cstheme="minorHAnsi"/>
          <w:sz w:val="24"/>
          <w:szCs w:val="24"/>
        </w:rPr>
        <w:t xml:space="preserve">In much of the research covered in this report, people interviewed during research reported seeking little or no help for mental health disorders, and a lack of treatment was particularly common among people who entered the eviction process. In housing association visits to houses with social and medical problems, 54% of homes visited reported social issues, but only 13% of those residents used any sort of social programs. Among homes where medical problems </w:t>
      </w:r>
      <w:proofErr w:type="gramStart"/>
      <w:r w:rsidRPr="00F92330">
        <w:rPr>
          <w:rFonts w:cstheme="minorHAnsi"/>
          <w:sz w:val="24"/>
          <w:szCs w:val="24"/>
        </w:rPr>
        <w:t>were reported</w:t>
      </w:r>
      <w:proofErr w:type="gramEnd"/>
      <w:r w:rsidRPr="00F92330">
        <w:rPr>
          <w:rFonts w:cstheme="minorHAnsi"/>
          <w:sz w:val="24"/>
          <w:szCs w:val="24"/>
        </w:rPr>
        <w:t>, 21% reported mental health issues, compared to 7% among homes that received no visitation. Among 275 households that owed arrears, 71% reported social problems and 23% reported medical problems, but only 29% were receiving treatment. Out of the 33 homes where housing association visits identified mental health issues only one household was pursuing treatment options (</w:t>
      </w:r>
      <w:r w:rsidR="000B6500" w:rsidRPr="00F92330">
        <w:rPr>
          <w:rFonts w:cstheme="minorHAnsi"/>
          <w:sz w:val="24"/>
          <w:szCs w:val="24"/>
        </w:rPr>
        <w:t xml:space="preserve">van </w:t>
      </w:r>
      <w:proofErr w:type="spellStart"/>
      <w:r w:rsidR="000B6500" w:rsidRPr="00F92330">
        <w:rPr>
          <w:rFonts w:cstheme="minorHAnsi"/>
          <w:sz w:val="24"/>
          <w:szCs w:val="24"/>
        </w:rPr>
        <w:t>Laere</w:t>
      </w:r>
      <w:proofErr w:type="spellEnd"/>
      <w:r w:rsidR="000B6500" w:rsidRPr="00F92330">
        <w:rPr>
          <w:rFonts w:cstheme="minorHAnsi"/>
          <w:sz w:val="24"/>
          <w:szCs w:val="24"/>
        </w:rPr>
        <w:t xml:space="preserve"> et al, 2008</w:t>
      </w:r>
      <w:r w:rsidRPr="00F92330">
        <w:rPr>
          <w:rFonts w:cstheme="minorHAnsi"/>
          <w:sz w:val="24"/>
          <w:szCs w:val="24"/>
        </w:rPr>
        <w:t>)</w:t>
      </w:r>
      <w:r w:rsidR="00927C03" w:rsidRPr="00F92330">
        <w:rPr>
          <w:rFonts w:cstheme="minorHAnsi"/>
          <w:sz w:val="24"/>
          <w:szCs w:val="24"/>
        </w:rPr>
        <w:t>.</w:t>
      </w:r>
    </w:p>
    <w:p w14:paraId="54C09D84" w14:textId="78E4DB91" w:rsidR="00FA3B09" w:rsidRPr="00F92330" w:rsidRDefault="00FA3B09" w:rsidP="008420E0">
      <w:pPr>
        <w:spacing w:after="120" w:line="240" w:lineRule="auto"/>
        <w:rPr>
          <w:rFonts w:eastAsia="Times New Roman" w:cstheme="minorHAnsi"/>
          <w:b/>
          <w:bCs/>
          <w:color w:val="000000"/>
          <w:sz w:val="24"/>
          <w:szCs w:val="24"/>
        </w:rPr>
      </w:pPr>
      <w:r w:rsidRPr="00F92330">
        <w:rPr>
          <w:rFonts w:cstheme="minorHAnsi"/>
          <w:sz w:val="24"/>
          <w:szCs w:val="24"/>
        </w:rPr>
        <w:t xml:space="preserve">In the court system, among respondents that reported mental health issues, 22% of respondents reported that they were receiving treatment. 11% reported receiving substance abuse treatment. </w:t>
      </w:r>
      <w:r w:rsidRPr="00F92330">
        <w:rPr>
          <w:rFonts w:eastAsia="Times New Roman" w:cstheme="minorHAnsi"/>
          <w:color w:val="000000"/>
          <w:sz w:val="24"/>
          <w:szCs w:val="24"/>
        </w:rPr>
        <w:t>(</w:t>
      </w:r>
      <w:r w:rsidR="00213711" w:rsidRPr="00F92330">
        <w:rPr>
          <w:rFonts w:eastAsia="Times New Roman" w:cstheme="minorHAnsi"/>
          <w:color w:val="000000"/>
          <w:sz w:val="24"/>
          <w:szCs w:val="24"/>
        </w:rPr>
        <w:t>Tsai et al, 2020</w:t>
      </w:r>
      <w:r w:rsidRPr="00F92330">
        <w:rPr>
          <w:rFonts w:eastAsia="Times New Roman" w:cstheme="minorHAnsi"/>
          <w:color w:val="000000"/>
          <w:sz w:val="24"/>
          <w:szCs w:val="24"/>
        </w:rPr>
        <w:t xml:space="preserve">) </w:t>
      </w:r>
      <w:r w:rsidRPr="00F92330">
        <w:rPr>
          <w:rFonts w:cstheme="minorHAnsi"/>
          <w:sz w:val="24"/>
          <w:szCs w:val="24"/>
        </w:rPr>
        <w:t xml:space="preserve">Among veterans in supportive housing programs that faced eviction, the majority had received diagnoses for medical and mental health conditions which they were not actively treating. </w:t>
      </w:r>
      <w:r w:rsidRPr="00F92330">
        <w:rPr>
          <w:rFonts w:eastAsia="Times New Roman" w:cstheme="minorHAnsi"/>
          <w:color w:val="000000"/>
          <w:sz w:val="24"/>
          <w:szCs w:val="24"/>
        </w:rPr>
        <w:t>(</w:t>
      </w:r>
      <w:r w:rsidR="000B6500" w:rsidRPr="00F92330">
        <w:rPr>
          <w:rFonts w:cstheme="minorHAnsi"/>
          <w:sz w:val="24"/>
          <w:szCs w:val="24"/>
        </w:rPr>
        <w:t>Montgomery et al, 2016</w:t>
      </w:r>
      <w:r w:rsidRPr="00F92330">
        <w:rPr>
          <w:rFonts w:eastAsia="Times New Roman" w:cstheme="minorHAnsi"/>
          <w:color w:val="000000"/>
          <w:sz w:val="24"/>
          <w:szCs w:val="24"/>
        </w:rPr>
        <w:t xml:space="preserve">) Treatment </w:t>
      </w:r>
      <w:proofErr w:type="gramStart"/>
      <w:r w:rsidRPr="00F92330">
        <w:rPr>
          <w:rFonts w:eastAsia="Times New Roman" w:cstheme="minorHAnsi"/>
          <w:color w:val="000000"/>
          <w:sz w:val="24"/>
          <w:szCs w:val="24"/>
        </w:rPr>
        <w:t>is often limited</w:t>
      </w:r>
      <w:proofErr w:type="gramEnd"/>
      <w:r w:rsidRPr="00F92330">
        <w:rPr>
          <w:rFonts w:eastAsia="Times New Roman" w:cstheme="minorHAnsi"/>
          <w:color w:val="000000"/>
          <w:sz w:val="24"/>
          <w:szCs w:val="24"/>
        </w:rPr>
        <w:t xml:space="preserve"> by affordability, as was reported by a study on federal housing assistance recipients in which adults presenting with schizophrenic disorders frequently reported unmet healthcare needs because of limited finances. (</w:t>
      </w:r>
      <w:r w:rsidR="002C23BD" w:rsidRPr="00F92330">
        <w:rPr>
          <w:rFonts w:eastAsia="Times New Roman" w:cstheme="minorHAnsi"/>
          <w:color w:val="000000"/>
          <w:sz w:val="24"/>
          <w:szCs w:val="24"/>
        </w:rPr>
        <w:t>Bucker et al, 2019</w:t>
      </w:r>
      <w:r w:rsidRPr="00F92330">
        <w:rPr>
          <w:rFonts w:eastAsia="Times New Roman" w:cstheme="minorHAnsi"/>
          <w:color w:val="000000"/>
          <w:sz w:val="24"/>
          <w:szCs w:val="24"/>
        </w:rPr>
        <w:t>)</w:t>
      </w:r>
    </w:p>
    <w:p w14:paraId="7C67AC83" w14:textId="77777777" w:rsidR="00FA3B09" w:rsidRPr="00F92330" w:rsidRDefault="00FA3B09" w:rsidP="008420E0">
      <w:pPr>
        <w:spacing w:after="120" w:line="240" w:lineRule="auto"/>
        <w:rPr>
          <w:rFonts w:eastAsia="Times New Roman" w:cstheme="minorHAnsi"/>
          <w:b/>
          <w:bCs/>
          <w:color w:val="000000"/>
          <w:sz w:val="24"/>
          <w:szCs w:val="24"/>
        </w:rPr>
      </w:pPr>
    </w:p>
    <w:p w14:paraId="30521C72" w14:textId="2CDB0414" w:rsidR="00FA3B09" w:rsidRPr="00F92330" w:rsidRDefault="00FA3B09" w:rsidP="008420E0">
      <w:pPr>
        <w:spacing w:after="120" w:line="240" w:lineRule="auto"/>
        <w:rPr>
          <w:rStyle w:val="IntenseReference"/>
          <w:rFonts w:cstheme="minorHAnsi"/>
          <w:sz w:val="24"/>
          <w:szCs w:val="24"/>
        </w:rPr>
      </w:pPr>
      <w:r w:rsidRPr="00F92330">
        <w:rPr>
          <w:rStyle w:val="IntenseReference"/>
          <w:rFonts w:cstheme="minorHAnsi"/>
          <w:sz w:val="24"/>
          <w:szCs w:val="24"/>
        </w:rPr>
        <w:t xml:space="preserve">The Eviction Process is a </w:t>
      </w:r>
      <w:r w:rsidR="00B27E51" w:rsidRPr="00F92330">
        <w:rPr>
          <w:rStyle w:val="IntenseReference"/>
          <w:rFonts w:cstheme="minorHAnsi"/>
          <w:sz w:val="24"/>
          <w:szCs w:val="24"/>
        </w:rPr>
        <w:t>M</w:t>
      </w:r>
      <w:r w:rsidRPr="00F92330">
        <w:rPr>
          <w:rStyle w:val="IntenseReference"/>
          <w:rFonts w:cstheme="minorHAnsi"/>
          <w:sz w:val="24"/>
          <w:szCs w:val="24"/>
        </w:rPr>
        <w:t xml:space="preserve">ental </w:t>
      </w:r>
      <w:r w:rsidR="00B27E51" w:rsidRPr="00F92330">
        <w:rPr>
          <w:rStyle w:val="IntenseReference"/>
          <w:rFonts w:cstheme="minorHAnsi"/>
          <w:sz w:val="24"/>
          <w:szCs w:val="24"/>
        </w:rPr>
        <w:t>H</w:t>
      </w:r>
      <w:r w:rsidRPr="00F92330">
        <w:rPr>
          <w:rStyle w:val="IntenseReference"/>
          <w:rFonts w:cstheme="minorHAnsi"/>
          <w:sz w:val="24"/>
          <w:szCs w:val="24"/>
        </w:rPr>
        <w:t xml:space="preserve">ealth </w:t>
      </w:r>
      <w:r w:rsidR="00B27E51" w:rsidRPr="00F92330">
        <w:rPr>
          <w:rStyle w:val="IntenseReference"/>
          <w:rFonts w:cstheme="minorHAnsi"/>
          <w:sz w:val="24"/>
          <w:szCs w:val="24"/>
        </w:rPr>
        <w:t>C</w:t>
      </w:r>
      <w:r w:rsidRPr="00F92330">
        <w:rPr>
          <w:rStyle w:val="IntenseReference"/>
          <w:rFonts w:cstheme="minorHAnsi"/>
          <w:sz w:val="24"/>
          <w:szCs w:val="24"/>
        </w:rPr>
        <w:t>hallenge</w:t>
      </w:r>
    </w:p>
    <w:p w14:paraId="1ADA2F6C" w14:textId="7A813984" w:rsidR="000F37E5" w:rsidRDefault="00FA3B09"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Researchers studying eviction and mental health revealed that the process of eviction or foreclosure </w:t>
      </w:r>
      <w:proofErr w:type="gramStart"/>
      <w:r w:rsidRPr="00F92330">
        <w:rPr>
          <w:rFonts w:eastAsia="Times New Roman" w:cstheme="minorHAnsi"/>
          <w:color w:val="000000"/>
          <w:sz w:val="24"/>
          <w:szCs w:val="24"/>
        </w:rPr>
        <w:t>are linked</w:t>
      </w:r>
      <w:proofErr w:type="gramEnd"/>
      <w:r w:rsidRPr="00F92330">
        <w:rPr>
          <w:rFonts w:eastAsia="Times New Roman" w:cstheme="minorHAnsi"/>
          <w:color w:val="000000"/>
          <w:sz w:val="24"/>
          <w:szCs w:val="24"/>
        </w:rPr>
        <w:t xml:space="preserve"> either directly or indirectly to many mental health issues. Respondents in all research I reviewed perceive evictions and foreclosures as traumatic events that can cause or exacerbate </w:t>
      </w:r>
      <w:r w:rsidR="00A278FF" w:rsidRPr="00F92330">
        <w:rPr>
          <w:rFonts w:eastAsia="Times New Roman" w:cstheme="minorHAnsi"/>
          <w:color w:val="000000"/>
          <w:sz w:val="24"/>
          <w:szCs w:val="24"/>
        </w:rPr>
        <w:t>post-traumatic</w:t>
      </w:r>
      <w:r w:rsidRPr="00F92330">
        <w:rPr>
          <w:rFonts w:eastAsia="Times New Roman" w:cstheme="minorHAnsi"/>
          <w:color w:val="000000"/>
          <w:sz w:val="24"/>
          <w:szCs w:val="24"/>
        </w:rPr>
        <w:t xml:space="preserve"> stress disorder (</w:t>
      </w:r>
      <w:r w:rsidR="007157F6" w:rsidRPr="00F92330">
        <w:rPr>
          <w:rFonts w:eastAsia="Times New Roman" w:cstheme="minorHAnsi"/>
          <w:color w:val="000000"/>
          <w:sz w:val="24"/>
          <w:szCs w:val="24"/>
        </w:rPr>
        <w:t>Ortega et al, 2017</w:t>
      </w:r>
      <w:r w:rsidRPr="00F92330">
        <w:rPr>
          <w:rFonts w:eastAsia="Times New Roman" w:cstheme="minorHAnsi"/>
          <w:color w:val="000000"/>
          <w:sz w:val="24"/>
          <w:szCs w:val="24"/>
        </w:rPr>
        <w:t>). Multiple studies revealed overwhelming statistical correlations between depression and anxiety, and the process of eviction or foreclosure (</w:t>
      </w:r>
      <w:r w:rsidR="008811AC" w:rsidRPr="00F92330">
        <w:rPr>
          <w:rFonts w:eastAsia="Times New Roman" w:cstheme="minorHAnsi"/>
          <w:color w:val="000000"/>
          <w:sz w:val="24"/>
          <w:szCs w:val="24"/>
        </w:rPr>
        <w:t>Tsai, 2019</w:t>
      </w:r>
      <w:r w:rsidRPr="00F92330">
        <w:rPr>
          <w:rFonts w:eastAsia="Times New Roman" w:cstheme="minorHAnsi"/>
          <w:color w:val="000000"/>
          <w:sz w:val="24"/>
          <w:szCs w:val="24"/>
        </w:rPr>
        <w:t xml:space="preserve">). </w:t>
      </w:r>
    </w:p>
    <w:p w14:paraId="34482ECF" w14:textId="5FA5E64E" w:rsidR="00FA3B09" w:rsidRPr="00F92330" w:rsidRDefault="00FA3B09"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These effects are not just short-term, but present in symptomology of returning patients over the span of years, and in many instances increase in severity over time </w:t>
      </w:r>
      <w:r w:rsidRPr="00F92330">
        <w:rPr>
          <w:rFonts w:cstheme="minorHAnsi"/>
          <w:sz w:val="24"/>
          <w:szCs w:val="24"/>
        </w:rPr>
        <w:t>(</w:t>
      </w:r>
      <w:r w:rsidR="007157F6" w:rsidRPr="00F92330">
        <w:rPr>
          <w:rFonts w:cstheme="minorHAnsi"/>
          <w:sz w:val="24"/>
          <w:szCs w:val="24"/>
        </w:rPr>
        <w:t>Ortega et al, 2017</w:t>
      </w:r>
      <w:r w:rsidRPr="00F92330">
        <w:rPr>
          <w:rFonts w:cstheme="minorHAnsi"/>
          <w:sz w:val="24"/>
          <w:szCs w:val="24"/>
        </w:rPr>
        <w:t>)</w:t>
      </w:r>
      <w:r w:rsidR="00020FAB" w:rsidRPr="00F92330">
        <w:rPr>
          <w:rFonts w:cstheme="minorHAnsi"/>
          <w:sz w:val="24"/>
          <w:szCs w:val="24"/>
        </w:rPr>
        <w:t>.</w:t>
      </w:r>
      <w:r w:rsidRPr="00F92330">
        <w:rPr>
          <w:rFonts w:eastAsia="Times New Roman" w:cstheme="minorHAnsi"/>
          <w:color w:val="000000"/>
          <w:sz w:val="24"/>
          <w:szCs w:val="24"/>
        </w:rPr>
        <w:t xml:space="preserve"> However, the most material and immediate connection that displays the eviction process’ effect on mental health is its correlation with increased suicides. Psychological researchers agree resoundingly that suicide is in almost all instances the ultimate signifier of some sort of mental health </w:t>
      </w:r>
      <w:r w:rsidR="00D5109D" w:rsidRPr="00F92330">
        <w:rPr>
          <w:rFonts w:eastAsia="Times New Roman" w:cstheme="minorHAnsi"/>
          <w:color w:val="000000"/>
          <w:sz w:val="24"/>
          <w:szCs w:val="24"/>
        </w:rPr>
        <w:t xml:space="preserve">disorder, meaning that eviction has a </w:t>
      </w:r>
      <w:r w:rsidR="00350190" w:rsidRPr="00F92330">
        <w:rPr>
          <w:rFonts w:eastAsia="Times New Roman" w:cstheme="minorHAnsi"/>
          <w:color w:val="000000"/>
          <w:sz w:val="24"/>
          <w:szCs w:val="24"/>
        </w:rPr>
        <w:t>broadly</w:t>
      </w:r>
      <w:r w:rsidR="00D5109D" w:rsidRPr="00F92330">
        <w:rPr>
          <w:rFonts w:eastAsia="Times New Roman" w:cstheme="minorHAnsi"/>
          <w:color w:val="000000"/>
          <w:sz w:val="24"/>
          <w:szCs w:val="24"/>
        </w:rPr>
        <w:t xml:space="preserve"> detrimental effect across the spectrum of mental health disorders.</w:t>
      </w:r>
      <w:r w:rsidRPr="00F92330">
        <w:rPr>
          <w:rFonts w:eastAsia="Times New Roman" w:cstheme="minorHAnsi"/>
          <w:color w:val="000000"/>
          <w:sz w:val="24"/>
          <w:szCs w:val="24"/>
        </w:rPr>
        <w:t xml:space="preserve"> (</w:t>
      </w:r>
      <w:r w:rsidR="00F320D9" w:rsidRPr="00F92330">
        <w:rPr>
          <w:rFonts w:eastAsia="Times New Roman" w:cstheme="minorHAnsi"/>
          <w:color w:val="000000"/>
          <w:sz w:val="24"/>
          <w:szCs w:val="24"/>
        </w:rPr>
        <w:t>Mateo-Rodríguez et al, 2019</w:t>
      </w:r>
      <w:r w:rsidRPr="00F92330">
        <w:rPr>
          <w:rFonts w:eastAsia="Times New Roman" w:cstheme="minorHAnsi"/>
          <w:color w:val="000000"/>
          <w:sz w:val="24"/>
          <w:szCs w:val="24"/>
        </w:rPr>
        <w:t>).</w:t>
      </w:r>
      <w:r w:rsidR="00A278FF" w:rsidRPr="00F92330">
        <w:rPr>
          <w:rFonts w:eastAsia="Times New Roman" w:cstheme="minorHAnsi"/>
          <w:color w:val="000000"/>
          <w:sz w:val="24"/>
          <w:szCs w:val="24"/>
        </w:rPr>
        <w:t xml:space="preserve"> </w:t>
      </w:r>
    </w:p>
    <w:p w14:paraId="3B9A148E" w14:textId="77777777" w:rsidR="00FA3B09" w:rsidRPr="00F92330" w:rsidRDefault="00FA3B09" w:rsidP="008420E0">
      <w:pPr>
        <w:spacing w:after="120" w:line="240" w:lineRule="auto"/>
        <w:rPr>
          <w:rFonts w:eastAsia="Times New Roman" w:cstheme="minorHAnsi"/>
          <w:b/>
          <w:bCs/>
          <w:color w:val="000000"/>
          <w:sz w:val="24"/>
          <w:szCs w:val="24"/>
        </w:rPr>
      </w:pPr>
    </w:p>
    <w:p w14:paraId="21136C2C" w14:textId="77777777" w:rsidR="00FA3B09" w:rsidRPr="00F92330" w:rsidRDefault="00FA3B09" w:rsidP="008420E0">
      <w:pPr>
        <w:spacing w:after="120" w:line="240" w:lineRule="auto"/>
        <w:rPr>
          <w:rStyle w:val="IntenseEmphasis"/>
          <w:rFonts w:cstheme="minorHAnsi"/>
          <w:sz w:val="24"/>
          <w:szCs w:val="24"/>
        </w:rPr>
      </w:pPr>
      <w:r w:rsidRPr="00F92330">
        <w:rPr>
          <w:rStyle w:val="IntenseEmphasis"/>
          <w:rFonts w:cstheme="minorHAnsi"/>
          <w:sz w:val="24"/>
          <w:szCs w:val="24"/>
        </w:rPr>
        <w:t>PTSD and Comorbidity</w:t>
      </w:r>
    </w:p>
    <w:p w14:paraId="01298CA2" w14:textId="1A1BB642" w:rsidR="00FA3B09" w:rsidRPr="00F92330" w:rsidRDefault="00FA3B09"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PTSD is a frequent theme among individuals who have undergone the eviction process or have </w:t>
      </w:r>
      <w:proofErr w:type="gramStart"/>
      <w:r w:rsidRPr="00F92330">
        <w:rPr>
          <w:rFonts w:eastAsia="Times New Roman" w:cstheme="minorHAnsi"/>
          <w:color w:val="000000"/>
          <w:sz w:val="24"/>
          <w:szCs w:val="24"/>
        </w:rPr>
        <w:t>been evicted</w:t>
      </w:r>
      <w:proofErr w:type="gramEnd"/>
      <w:r w:rsidRPr="00F92330">
        <w:rPr>
          <w:rFonts w:eastAsia="Times New Roman" w:cstheme="minorHAnsi"/>
          <w:color w:val="000000"/>
          <w:sz w:val="24"/>
          <w:szCs w:val="24"/>
        </w:rPr>
        <w:t xml:space="preserve">.  The inception and each subsequent event in the eviction process act as stressors </w:t>
      </w:r>
      <w:r w:rsidRPr="00F92330">
        <w:rPr>
          <w:rFonts w:eastAsia="Times New Roman" w:cstheme="minorHAnsi"/>
          <w:color w:val="000000"/>
          <w:sz w:val="24"/>
          <w:szCs w:val="24"/>
        </w:rPr>
        <w:lastRenderedPageBreak/>
        <w:t>and have their own trauma associated with them. (</w:t>
      </w:r>
      <w:r w:rsidR="00F320D9" w:rsidRPr="00F92330">
        <w:rPr>
          <w:rFonts w:eastAsia="Times New Roman" w:cstheme="minorHAnsi"/>
          <w:color w:val="000000"/>
          <w:sz w:val="24"/>
          <w:szCs w:val="24"/>
        </w:rPr>
        <w:t>O</w:t>
      </w:r>
      <w:r w:rsidR="007157F6" w:rsidRPr="00F92330">
        <w:rPr>
          <w:rFonts w:eastAsia="Times New Roman" w:cstheme="minorHAnsi"/>
          <w:color w:val="000000"/>
          <w:sz w:val="24"/>
          <w:szCs w:val="24"/>
        </w:rPr>
        <w:t>rtega et al</w:t>
      </w:r>
      <w:r w:rsidR="00F320D9" w:rsidRPr="00F92330">
        <w:rPr>
          <w:rFonts w:eastAsia="Times New Roman" w:cstheme="minorHAnsi"/>
          <w:color w:val="000000"/>
          <w:sz w:val="24"/>
          <w:szCs w:val="24"/>
        </w:rPr>
        <w:t xml:space="preserve">, </w:t>
      </w:r>
      <w:proofErr w:type="gramStart"/>
      <w:r w:rsidR="00F320D9" w:rsidRPr="00F92330">
        <w:rPr>
          <w:rFonts w:eastAsia="Times New Roman" w:cstheme="minorHAnsi"/>
          <w:color w:val="000000"/>
          <w:sz w:val="24"/>
          <w:szCs w:val="24"/>
        </w:rPr>
        <w:t xml:space="preserve">2017 </w:t>
      </w:r>
      <w:r w:rsidRPr="00F92330">
        <w:rPr>
          <w:rFonts w:eastAsia="Times New Roman" w:cstheme="minorHAnsi"/>
          <w:color w:val="000000"/>
          <w:sz w:val="24"/>
          <w:szCs w:val="24"/>
        </w:rPr>
        <w:t>)</w:t>
      </w:r>
      <w:proofErr w:type="gramEnd"/>
      <w:r w:rsidRPr="00F92330">
        <w:rPr>
          <w:rFonts w:eastAsia="Times New Roman" w:cstheme="minorHAnsi"/>
          <w:color w:val="000000"/>
          <w:sz w:val="24"/>
          <w:szCs w:val="24"/>
        </w:rPr>
        <w:t xml:space="preserve"> Interactions with landlords or banks </w:t>
      </w:r>
      <w:r w:rsidR="002453A1" w:rsidRPr="00F92330">
        <w:rPr>
          <w:rFonts w:eastAsia="Times New Roman" w:cstheme="minorHAnsi"/>
          <w:color w:val="000000"/>
          <w:sz w:val="24"/>
          <w:szCs w:val="24"/>
        </w:rPr>
        <w:t>momentarily act as severe stressors that often generate tra</w:t>
      </w:r>
      <w:r w:rsidR="00762FA0" w:rsidRPr="00F92330">
        <w:rPr>
          <w:rFonts w:eastAsia="Times New Roman" w:cstheme="minorHAnsi"/>
          <w:color w:val="000000"/>
          <w:sz w:val="24"/>
          <w:szCs w:val="24"/>
        </w:rPr>
        <w:t>u</w:t>
      </w:r>
      <w:r w:rsidR="002453A1" w:rsidRPr="00F92330">
        <w:rPr>
          <w:rFonts w:eastAsia="Times New Roman" w:cstheme="minorHAnsi"/>
          <w:color w:val="000000"/>
          <w:sz w:val="24"/>
          <w:szCs w:val="24"/>
        </w:rPr>
        <w:t>ma and cause the tenant to later present with symptoms of PTSD</w:t>
      </w:r>
      <w:r w:rsidRPr="00F92330">
        <w:rPr>
          <w:rFonts w:eastAsia="Times New Roman" w:cstheme="minorHAnsi"/>
          <w:color w:val="000000"/>
          <w:sz w:val="24"/>
          <w:szCs w:val="24"/>
        </w:rPr>
        <w:t>. (</w:t>
      </w:r>
      <w:r w:rsidR="00F320D9" w:rsidRPr="00F92330">
        <w:rPr>
          <w:rFonts w:eastAsia="Times New Roman" w:cstheme="minorHAnsi"/>
          <w:color w:val="000000"/>
          <w:sz w:val="24"/>
          <w:szCs w:val="24"/>
        </w:rPr>
        <w:t>Mateo-Rodríguez et al, 2019</w:t>
      </w:r>
      <w:r w:rsidRPr="00F92330">
        <w:rPr>
          <w:rFonts w:eastAsia="Times New Roman" w:cstheme="minorHAnsi"/>
          <w:color w:val="000000"/>
          <w:sz w:val="24"/>
          <w:szCs w:val="24"/>
        </w:rPr>
        <w:t xml:space="preserve">) </w:t>
      </w:r>
      <w:r w:rsidR="003773D2" w:rsidRPr="00F92330">
        <w:rPr>
          <w:rFonts w:eastAsia="Times New Roman" w:cstheme="minorHAnsi"/>
          <w:color w:val="000000"/>
          <w:sz w:val="24"/>
          <w:szCs w:val="24"/>
        </w:rPr>
        <w:t>In a cohort that underwent</w:t>
      </w:r>
      <w:r w:rsidRPr="00F92330">
        <w:rPr>
          <w:rFonts w:eastAsia="Times New Roman" w:cstheme="minorHAnsi"/>
          <w:color w:val="000000"/>
          <w:sz w:val="24"/>
          <w:szCs w:val="24"/>
        </w:rPr>
        <w:t xml:space="preserve"> evictions or foreclosures after the </w:t>
      </w:r>
      <w:r w:rsidR="003773D2" w:rsidRPr="00F92330">
        <w:rPr>
          <w:rFonts w:eastAsia="Times New Roman" w:cstheme="minorHAnsi"/>
          <w:color w:val="000000"/>
          <w:sz w:val="24"/>
          <w:szCs w:val="24"/>
        </w:rPr>
        <w:t xml:space="preserve">2008 </w:t>
      </w:r>
      <w:r w:rsidRPr="00F92330">
        <w:rPr>
          <w:rFonts w:eastAsia="Times New Roman" w:cstheme="minorHAnsi"/>
          <w:color w:val="000000"/>
          <w:sz w:val="24"/>
          <w:szCs w:val="24"/>
        </w:rPr>
        <w:t xml:space="preserve">recession, 95% of respondents </w:t>
      </w:r>
      <w:r w:rsidR="003773D2" w:rsidRPr="00F92330">
        <w:rPr>
          <w:rFonts w:eastAsia="Times New Roman" w:cstheme="minorHAnsi"/>
          <w:color w:val="000000"/>
          <w:sz w:val="24"/>
          <w:szCs w:val="24"/>
        </w:rPr>
        <w:t>experienced</w:t>
      </w:r>
      <w:r w:rsidRPr="00F92330">
        <w:rPr>
          <w:rFonts w:eastAsia="Times New Roman" w:cstheme="minorHAnsi"/>
          <w:color w:val="000000"/>
          <w:sz w:val="24"/>
          <w:szCs w:val="24"/>
        </w:rPr>
        <w:t xml:space="preserve"> fear, </w:t>
      </w:r>
      <w:proofErr w:type="gramStart"/>
      <w:r w:rsidRPr="00F92330">
        <w:rPr>
          <w:rFonts w:eastAsia="Times New Roman" w:cstheme="minorHAnsi"/>
          <w:color w:val="000000"/>
          <w:sz w:val="24"/>
          <w:szCs w:val="24"/>
        </w:rPr>
        <w:t>helplessness</w:t>
      </w:r>
      <w:proofErr w:type="gramEnd"/>
      <w:r w:rsidRPr="00F92330">
        <w:rPr>
          <w:rFonts w:eastAsia="Times New Roman" w:cstheme="minorHAnsi"/>
          <w:color w:val="000000"/>
          <w:sz w:val="24"/>
          <w:szCs w:val="24"/>
        </w:rPr>
        <w:t xml:space="preserve"> or horror in relation to a home eviction, and 72% of the people who reported these feelings met the symptom criteria for PTSD. PTSD has a gender disparate impact, affecting women in higher levels than men in terms of </w:t>
      </w:r>
      <w:r w:rsidR="00C80DC1" w:rsidRPr="00F92330">
        <w:rPr>
          <w:rFonts w:eastAsia="Times New Roman" w:cstheme="minorHAnsi"/>
          <w:color w:val="000000"/>
          <w:sz w:val="24"/>
          <w:szCs w:val="24"/>
        </w:rPr>
        <w:t>long-term</w:t>
      </w:r>
      <w:r w:rsidRPr="00F92330">
        <w:rPr>
          <w:rFonts w:eastAsia="Times New Roman" w:cstheme="minorHAnsi"/>
          <w:color w:val="000000"/>
          <w:sz w:val="24"/>
          <w:szCs w:val="24"/>
        </w:rPr>
        <w:t xml:space="preserve"> recurrence of symptoms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F320D9" w:rsidRPr="00F92330">
        <w:rPr>
          <w:rFonts w:eastAsia="Times New Roman" w:cstheme="minorHAnsi"/>
          <w:color w:val="000000"/>
          <w:sz w:val="24"/>
          <w:szCs w:val="24"/>
        </w:rPr>
        <w:t>,</w:t>
      </w:r>
      <w:proofErr w:type="gramEnd"/>
      <w:r w:rsidR="00F320D9" w:rsidRPr="00F92330">
        <w:rPr>
          <w:rFonts w:eastAsia="Times New Roman" w:cstheme="minorHAnsi"/>
          <w:color w:val="000000"/>
          <w:sz w:val="24"/>
          <w:szCs w:val="24"/>
        </w:rPr>
        <w:t xml:space="preserve"> 2017</w:t>
      </w:r>
      <w:r w:rsidRPr="00F92330">
        <w:rPr>
          <w:rFonts w:eastAsia="Times New Roman" w:cstheme="minorHAnsi"/>
          <w:color w:val="000000"/>
          <w:sz w:val="24"/>
          <w:szCs w:val="24"/>
        </w:rPr>
        <w:t>).</w:t>
      </w:r>
      <w:r w:rsidRPr="00F92330">
        <w:rPr>
          <w:rFonts w:eastAsia="Times New Roman" w:cstheme="minorHAnsi"/>
          <w:b/>
          <w:bCs/>
          <w:color w:val="000000"/>
          <w:sz w:val="24"/>
          <w:szCs w:val="24"/>
        </w:rPr>
        <w:t xml:space="preserve">  </w:t>
      </w:r>
    </w:p>
    <w:p w14:paraId="007690FC" w14:textId="433D52A5" w:rsidR="00FA3B09" w:rsidRPr="00F92330" w:rsidRDefault="001709DD"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T</w:t>
      </w:r>
      <w:r w:rsidR="00FA3B09" w:rsidRPr="00F92330">
        <w:rPr>
          <w:rFonts w:eastAsia="Times New Roman" w:cstheme="minorHAnsi"/>
          <w:color w:val="000000"/>
          <w:sz w:val="24"/>
          <w:szCs w:val="24"/>
        </w:rPr>
        <w:t>he trauma of entering the eviction process compounds other mental health issues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F320D9" w:rsidRPr="00F92330">
        <w:rPr>
          <w:rFonts w:eastAsia="Times New Roman" w:cstheme="minorHAnsi"/>
          <w:color w:val="000000"/>
          <w:sz w:val="24"/>
          <w:szCs w:val="24"/>
        </w:rPr>
        <w:t>,</w:t>
      </w:r>
      <w:proofErr w:type="gramEnd"/>
      <w:r w:rsidR="00F320D9" w:rsidRPr="00F92330">
        <w:rPr>
          <w:rFonts w:eastAsia="Times New Roman" w:cstheme="minorHAnsi"/>
          <w:color w:val="000000"/>
          <w:sz w:val="24"/>
          <w:szCs w:val="24"/>
        </w:rPr>
        <w:t xml:space="preserve"> 2017</w:t>
      </w:r>
      <w:r w:rsidR="00FA3B09" w:rsidRPr="00F92330">
        <w:rPr>
          <w:rFonts w:eastAsia="Times New Roman" w:cstheme="minorHAnsi"/>
          <w:color w:val="000000"/>
          <w:sz w:val="24"/>
          <w:szCs w:val="24"/>
        </w:rPr>
        <w:t>). Recurring trauma over a long period of time can be detrimental to a person’s psyche, but the eviction process compresses that time period and elevates the stakes of this recurring trauma to include material loss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F320D9" w:rsidRPr="00F92330">
        <w:rPr>
          <w:rFonts w:eastAsia="Times New Roman" w:cstheme="minorHAnsi"/>
          <w:color w:val="000000"/>
          <w:sz w:val="24"/>
          <w:szCs w:val="24"/>
        </w:rPr>
        <w:t>,</w:t>
      </w:r>
      <w:proofErr w:type="gramEnd"/>
      <w:r w:rsidR="00F320D9" w:rsidRPr="00F92330">
        <w:rPr>
          <w:rFonts w:eastAsia="Times New Roman" w:cstheme="minorHAnsi"/>
          <w:color w:val="000000"/>
          <w:sz w:val="24"/>
          <w:szCs w:val="24"/>
        </w:rPr>
        <w:t xml:space="preserve"> 2017</w:t>
      </w:r>
      <w:r w:rsidR="00FA3B09" w:rsidRPr="00F92330">
        <w:rPr>
          <w:rFonts w:eastAsia="Times New Roman" w:cstheme="minorHAnsi"/>
          <w:color w:val="000000"/>
          <w:sz w:val="24"/>
          <w:szCs w:val="24"/>
        </w:rPr>
        <w:t xml:space="preserve">). For </w:t>
      </w:r>
      <w:r w:rsidR="00C80DC1" w:rsidRPr="00F92330">
        <w:rPr>
          <w:rFonts w:eastAsia="Times New Roman" w:cstheme="minorHAnsi"/>
          <w:color w:val="000000"/>
          <w:sz w:val="24"/>
          <w:szCs w:val="24"/>
        </w:rPr>
        <w:t>men, it</w:t>
      </w:r>
      <w:r w:rsidR="00FA3B09" w:rsidRPr="00F92330">
        <w:rPr>
          <w:rFonts w:eastAsia="Times New Roman" w:cstheme="minorHAnsi"/>
          <w:color w:val="000000"/>
          <w:sz w:val="24"/>
          <w:szCs w:val="24"/>
        </w:rPr>
        <w:t xml:space="preserve"> seems that this combination of circumstances often seems insurmountable, and cultural expectations around masculinity may drive men’s withdrawal from external services or even help from relatives or friends, which leads to increased feelings of isolation and hopelessness. </w:t>
      </w:r>
      <w:r w:rsidR="00FA3B09" w:rsidRPr="00F92330">
        <w:rPr>
          <w:rFonts w:cstheme="minorHAnsi"/>
          <w:sz w:val="24"/>
          <w:szCs w:val="24"/>
        </w:rPr>
        <w:t>(</w:t>
      </w:r>
      <w:r w:rsidR="00F320D9" w:rsidRPr="00F92330">
        <w:rPr>
          <w:rFonts w:cstheme="minorHAnsi"/>
          <w:sz w:val="24"/>
          <w:szCs w:val="24"/>
        </w:rPr>
        <w:t>Mateo-Rodríguez et al, 2019</w:t>
      </w:r>
      <w:r w:rsidR="00FA3B09" w:rsidRPr="00F92330">
        <w:rPr>
          <w:rFonts w:cstheme="minorHAnsi"/>
          <w:sz w:val="24"/>
          <w:szCs w:val="24"/>
        </w:rPr>
        <w:t>)</w:t>
      </w:r>
      <w:r w:rsidR="00FA3B09" w:rsidRPr="00F92330">
        <w:rPr>
          <w:rFonts w:eastAsia="Times New Roman" w:cstheme="minorHAnsi"/>
          <w:color w:val="000000"/>
          <w:sz w:val="24"/>
          <w:szCs w:val="24"/>
        </w:rPr>
        <w:t xml:space="preserve"> </w:t>
      </w:r>
    </w:p>
    <w:p w14:paraId="4D8FA8A5" w14:textId="64FF31A7" w:rsidR="00FA3B09" w:rsidRPr="00F92330" w:rsidRDefault="003F52B2" w:rsidP="008420E0">
      <w:pPr>
        <w:spacing w:after="120" w:line="240" w:lineRule="auto"/>
        <w:rPr>
          <w:rFonts w:cstheme="minorHAnsi"/>
          <w:b/>
          <w:bCs/>
          <w:sz w:val="24"/>
          <w:szCs w:val="24"/>
        </w:rPr>
      </w:pPr>
      <w:r w:rsidRPr="00F92330">
        <w:rPr>
          <w:rFonts w:eastAsia="Times New Roman" w:cstheme="minorHAnsi"/>
          <w:color w:val="000000"/>
          <w:sz w:val="24"/>
          <w:szCs w:val="24"/>
        </w:rPr>
        <w:t>S</w:t>
      </w:r>
      <w:r w:rsidR="00FA3B09" w:rsidRPr="00F92330">
        <w:rPr>
          <w:rFonts w:eastAsia="Times New Roman" w:cstheme="minorHAnsi"/>
          <w:color w:val="000000"/>
          <w:sz w:val="24"/>
          <w:szCs w:val="24"/>
        </w:rPr>
        <w:t xml:space="preserve">ystematic reviews of </w:t>
      </w:r>
      <w:r w:rsidRPr="00F92330">
        <w:rPr>
          <w:rFonts w:eastAsia="Times New Roman" w:cstheme="minorHAnsi"/>
          <w:color w:val="000000"/>
          <w:sz w:val="24"/>
          <w:szCs w:val="24"/>
        </w:rPr>
        <w:t xml:space="preserve">the 2008 recession provide </w:t>
      </w:r>
      <w:r w:rsidR="00FA3B09" w:rsidRPr="00F92330">
        <w:rPr>
          <w:rFonts w:eastAsia="Times New Roman" w:cstheme="minorHAnsi"/>
          <w:color w:val="000000"/>
          <w:sz w:val="24"/>
          <w:szCs w:val="24"/>
        </w:rPr>
        <w:t xml:space="preserve">evidence </w:t>
      </w:r>
      <w:r w:rsidRPr="00F92330">
        <w:rPr>
          <w:rFonts w:eastAsia="Times New Roman" w:cstheme="minorHAnsi"/>
          <w:color w:val="000000"/>
          <w:sz w:val="24"/>
          <w:szCs w:val="24"/>
        </w:rPr>
        <w:t>of comorbidities in</w:t>
      </w:r>
      <w:r w:rsidR="00FA3B09" w:rsidRPr="00F92330">
        <w:rPr>
          <w:rFonts w:eastAsia="Times New Roman" w:cstheme="minorHAnsi"/>
          <w:color w:val="000000"/>
          <w:sz w:val="24"/>
          <w:szCs w:val="24"/>
        </w:rPr>
        <w:t xml:space="preserve"> psychological health</w:t>
      </w:r>
      <w:r w:rsidRPr="00F92330">
        <w:rPr>
          <w:rFonts w:eastAsia="Times New Roman" w:cstheme="minorHAnsi"/>
          <w:color w:val="000000"/>
          <w:sz w:val="24"/>
          <w:szCs w:val="24"/>
        </w:rPr>
        <w:t>: eviction and financial distress encouraged PTSD, depression, anxiety,</w:t>
      </w:r>
      <w:r w:rsidR="00FA3B09" w:rsidRPr="00F92330">
        <w:rPr>
          <w:rFonts w:eastAsia="Times New Roman" w:cstheme="minorHAnsi"/>
          <w:color w:val="000000"/>
          <w:sz w:val="24"/>
          <w:szCs w:val="24"/>
        </w:rPr>
        <w:t xml:space="preserve"> suicide, and substance abuse. </w:t>
      </w:r>
      <w:r w:rsidRPr="00F92330">
        <w:rPr>
          <w:rFonts w:eastAsia="Times New Roman" w:cstheme="minorHAnsi"/>
          <w:color w:val="000000"/>
          <w:sz w:val="24"/>
          <w:szCs w:val="24"/>
        </w:rPr>
        <w:t>The</w:t>
      </w:r>
      <w:r w:rsidR="00FA3B09" w:rsidRPr="00F92330">
        <w:rPr>
          <w:rFonts w:eastAsia="Times New Roman" w:cstheme="minorHAnsi"/>
          <w:color w:val="000000"/>
          <w:sz w:val="24"/>
          <w:szCs w:val="24"/>
        </w:rPr>
        <w:t xml:space="preserve"> broader social effect of foreclosures and evictions is deterioration </w:t>
      </w:r>
      <w:r w:rsidRPr="00F92330">
        <w:rPr>
          <w:rFonts w:eastAsia="Times New Roman" w:cstheme="minorHAnsi"/>
          <w:color w:val="000000"/>
          <w:sz w:val="24"/>
          <w:szCs w:val="24"/>
        </w:rPr>
        <w:t>in</w:t>
      </w:r>
      <w:r w:rsidR="00FA3B09" w:rsidRPr="00F92330">
        <w:rPr>
          <w:rFonts w:eastAsia="Times New Roman" w:cstheme="minorHAnsi"/>
          <w:color w:val="000000"/>
          <w:sz w:val="24"/>
          <w:szCs w:val="24"/>
        </w:rPr>
        <w:t xml:space="preserve"> neighborhood quality, which </w:t>
      </w:r>
      <w:r w:rsidRPr="00F92330">
        <w:rPr>
          <w:rFonts w:eastAsia="Times New Roman" w:cstheme="minorHAnsi"/>
          <w:color w:val="000000"/>
          <w:sz w:val="24"/>
          <w:szCs w:val="24"/>
        </w:rPr>
        <w:t>may</w:t>
      </w:r>
      <w:r w:rsidR="00FA3B09" w:rsidRPr="00F92330">
        <w:rPr>
          <w:rFonts w:eastAsia="Times New Roman" w:cstheme="minorHAnsi"/>
          <w:color w:val="000000"/>
          <w:sz w:val="24"/>
          <w:szCs w:val="24"/>
        </w:rPr>
        <w:t xml:space="preserve"> have further deleterious effects on the mental health of people living in the area. Research on residents near foreclosure sites reported associations between increased strain on mental health and foreclosures, as well as increased stress, violent crime, and protective social support </w:t>
      </w:r>
      <w:r w:rsidR="00B82A47" w:rsidRPr="00F92330">
        <w:rPr>
          <w:rFonts w:eastAsia="Times New Roman" w:cstheme="minorHAnsi"/>
          <w:color w:val="000000"/>
          <w:sz w:val="24"/>
          <w:szCs w:val="24"/>
        </w:rPr>
        <w:t>(</w:t>
      </w:r>
      <w:r w:rsidR="00367B0F" w:rsidRPr="00F92330">
        <w:rPr>
          <w:rFonts w:eastAsia="Times New Roman" w:cstheme="minorHAnsi"/>
          <w:color w:val="000000"/>
          <w:sz w:val="24"/>
          <w:szCs w:val="24"/>
        </w:rPr>
        <w:t>Tsai et al, 2015</w:t>
      </w:r>
      <w:r w:rsidR="00B82A47" w:rsidRPr="00F92330">
        <w:rPr>
          <w:rFonts w:cstheme="minorHAnsi"/>
          <w:sz w:val="24"/>
          <w:szCs w:val="24"/>
        </w:rPr>
        <w:t xml:space="preserve">; </w:t>
      </w:r>
      <w:r w:rsidR="00367B0F" w:rsidRPr="00F92330">
        <w:rPr>
          <w:rFonts w:cstheme="minorHAnsi"/>
          <w:sz w:val="24"/>
          <w:szCs w:val="24"/>
        </w:rPr>
        <w:t>Fowler et al, 2015</w:t>
      </w:r>
      <w:r w:rsidR="00FA3B09" w:rsidRPr="00F92330">
        <w:rPr>
          <w:rFonts w:cstheme="minorHAnsi"/>
          <w:sz w:val="24"/>
          <w:szCs w:val="24"/>
        </w:rPr>
        <w:t>)</w:t>
      </w:r>
      <w:r w:rsidR="00407FB4" w:rsidRPr="00F92330">
        <w:rPr>
          <w:rFonts w:cstheme="minorHAnsi"/>
          <w:sz w:val="24"/>
          <w:szCs w:val="24"/>
        </w:rPr>
        <w:t>.</w:t>
      </w:r>
    </w:p>
    <w:p w14:paraId="57D240B3" w14:textId="77777777" w:rsidR="00FA3B09" w:rsidRPr="00F92330" w:rsidRDefault="00FA3B09" w:rsidP="008420E0">
      <w:pPr>
        <w:spacing w:after="120" w:line="240" w:lineRule="auto"/>
        <w:rPr>
          <w:rFonts w:eastAsia="Times New Roman" w:cstheme="minorHAnsi"/>
          <w:b/>
          <w:bCs/>
          <w:color w:val="000000"/>
          <w:sz w:val="24"/>
          <w:szCs w:val="24"/>
        </w:rPr>
      </w:pPr>
    </w:p>
    <w:p w14:paraId="3808F123" w14:textId="77777777" w:rsidR="00FA3B09" w:rsidRPr="00F92330" w:rsidRDefault="00FA3B09" w:rsidP="008420E0">
      <w:pPr>
        <w:spacing w:after="120" w:line="240" w:lineRule="auto"/>
        <w:rPr>
          <w:rStyle w:val="IntenseEmphasis"/>
          <w:rFonts w:cstheme="minorHAnsi"/>
          <w:sz w:val="24"/>
          <w:szCs w:val="24"/>
        </w:rPr>
      </w:pPr>
      <w:r w:rsidRPr="00F92330">
        <w:rPr>
          <w:rStyle w:val="IntenseEmphasis"/>
          <w:rFonts w:cstheme="minorHAnsi"/>
          <w:sz w:val="24"/>
          <w:szCs w:val="24"/>
        </w:rPr>
        <w:t>Depression &amp; Anxiety</w:t>
      </w:r>
    </w:p>
    <w:p w14:paraId="465F277E" w14:textId="17AF7F5D" w:rsidR="00FA3B09" w:rsidRPr="00F92330" w:rsidRDefault="00FA3B09"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Among mental health issues that researchers evaluated, depression and anxiety </w:t>
      </w:r>
      <w:r w:rsidR="00E778C4" w:rsidRPr="00F92330">
        <w:rPr>
          <w:rFonts w:eastAsia="Times New Roman" w:cstheme="minorHAnsi"/>
          <w:color w:val="000000"/>
          <w:sz w:val="24"/>
          <w:szCs w:val="24"/>
        </w:rPr>
        <w:t>were common results of eviction</w:t>
      </w:r>
      <w:r w:rsidRPr="00F92330">
        <w:rPr>
          <w:rFonts w:eastAsia="Times New Roman" w:cstheme="minorHAnsi"/>
          <w:color w:val="000000"/>
          <w:sz w:val="24"/>
          <w:szCs w:val="24"/>
        </w:rPr>
        <w:t>. In several of the studies, anxiety demonstrate</w:t>
      </w:r>
      <w:r w:rsidR="000B1A6E" w:rsidRPr="00F92330">
        <w:rPr>
          <w:rFonts w:eastAsia="Times New Roman" w:cstheme="minorHAnsi"/>
          <w:color w:val="000000"/>
          <w:sz w:val="24"/>
          <w:szCs w:val="24"/>
        </w:rPr>
        <w:t>d</w:t>
      </w:r>
      <w:r w:rsidRPr="00F92330">
        <w:rPr>
          <w:rFonts w:eastAsia="Times New Roman" w:cstheme="minorHAnsi"/>
          <w:color w:val="000000"/>
          <w:sz w:val="24"/>
          <w:szCs w:val="24"/>
        </w:rPr>
        <w:t xml:space="preserve"> a bell-curve through the eviction process, peaking during the process and decreasing after </w:t>
      </w:r>
      <w:r w:rsidR="000B1A6E" w:rsidRPr="00F92330">
        <w:rPr>
          <w:rFonts w:eastAsia="Times New Roman" w:cstheme="minorHAnsi"/>
          <w:color w:val="000000"/>
          <w:sz w:val="24"/>
          <w:szCs w:val="24"/>
        </w:rPr>
        <w:t xml:space="preserve">a judge issued </w:t>
      </w:r>
      <w:r w:rsidRPr="00F92330">
        <w:rPr>
          <w:rFonts w:eastAsia="Times New Roman" w:cstheme="minorHAnsi"/>
          <w:color w:val="000000"/>
          <w:sz w:val="24"/>
          <w:szCs w:val="24"/>
        </w:rPr>
        <w:t>a verdict to the</w:t>
      </w:r>
      <w:r w:rsidR="000B1A6E" w:rsidRPr="00F92330">
        <w:rPr>
          <w:rFonts w:eastAsia="Times New Roman" w:cstheme="minorHAnsi"/>
          <w:color w:val="000000"/>
          <w:sz w:val="24"/>
          <w:szCs w:val="24"/>
        </w:rPr>
        <w:t xml:space="preserve"> landlord or bank’s</w:t>
      </w:r>
      <w:r w:rsidRPr="00F92330">
        <w:rPr>
          <w:rFonts w:eastAsia="Times New Roman" w:cstheme="minorHAnsi"/>
          <w:color w:val="000000"/>
          <w:sz w:val="24"/>
          <w:szCs w:val="24"/>
        </w:rPr>
        <w:t xml:space="preserve"> unlawful detainer lawsuit (</w:t>
      </w:r>
      <w:r w:rsidR="00213711" w:rsidRPr="00F92330">
        <w:rPr>
          <w:rFonts w:eastAsia="Times New Roman" w:cstheme="minorHAnsi"/>
          <w:color w:val="000000"/>
          <w:sz w:val="24"/>
          <w:szCs w:val="24"/>
        </w:rPr>
        <w:t>Tsai et al, 2020</w:t>
      </w:r>
      <w:r w:rsidRPr="00F92330">
        <w:rPr>
          <w:rFonts w:eastAsia="Times New Roman" w:cstheme="minorHAnsi"/>
          <w:color w:val="000000"/>
          <w:sz w:val="24"/>
          <w:szCs w:val="24"/>
        </w:rPr>
        <w:t>). In interviews of people in eviction courts, symptoms of depression and anxiety decreased slightly over the course of the eviction process, and more significantly among those who received treatment or interventions (</w:t>
      </w:r>
      <w:r w:rsidR="00213711" w:rsidRPr="00F92330">
        <w:rPr>
          <w:rFonts w:eastAsia="Times New Roman" w:cstheme="minorHAnsi"/>
          <w:color w:val="000000"/>
          <w:sz w:val="24"/>
          <w:szCs w:val="24"/>
        </w:rPr>
        <w:t>Tsai et al, 2020</w:t>
      </w:r>
      <w:r w:rsidRPr="00F92330">
        <w:rPr>
          <w:rFonts w:eastAsia="Times New Roman" w:cstheme="minorHAnsi"/>
          <w:color w:val="000000"/>
          <w:sz w:val="24"/>
          <w:szCs w:val="24"/>
        </w:rPr>
        <w:t xml:space="preserve">). </w:t>
      </w:r>
    </w:p>
    <w:p w14:paraId="473B2C32" w14:textId="4AA5EF94" w:rsidR="00FA3B09" w:rsidRPr="00F92330" w:rsidRDefault="00FA3B09"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Broadly, the American researcher, Matthew Desmond found similar results from his work in evaluating the harm of eviction as Spanish researchers looking at the same topic. In Desmond’s work, respondents experienced depression and anxiety above the 80-88</w:t>
      </w:r>
      <w:r w:rsidRPr="00F92330">
        <w:rPr>
          <w:rFonts w:eastAsia="Times New Roman" w:cstheme="minorHAnsi"/>
          <w:color w:val="000000"/>
          <w:sz w:val="24"/>
          <w:szCs w:val="24"/>
          <w:vertAlign w:val="superscript"/>
        </w:rPr>
        <w:t>th</w:t>
      </w:r>
      <w:r w:rsidRPr="00F92330">
        <w:rPr>
          <w:rFonts w:eastAsia="Times New Roman" w:cstheme="minorHAnsi"/>
          <w:color w:val="000000"/>
          <w:sz w:val="24"/>
          <w:szCs w:val="24"/>
        </w:rPr>
        <w:t xml:space="preserve"> percentile group in both categories, and women who experienced foreclosure still showed an elevated risk of depression two years after the event (</w:t>
      </w:r>
      <w:r w:rsidR="00367B0F" w:rsidRPr="00F92330">
        <w:rPr>
          <w:rFonts w:cstheme="minorHAnsi"/>
          <w:color w:val="2A2A2A"/>
          <w:sz w:val="24"/>
          <w:szCs w:val="24"/>
          <w:shd w:val="clear" w:color="auto" w:fill="FFFFFF"/>
        </w:rPr>
        <w:t>Desmond et al, 2015</w:t>
      </w:r>
      <w:r w:rsidRPr="00F92330">
        <w:rPr>
          <w:rFonts w:eastAsia="Times New Roman" w:cstheme="minorHAnsi"/>
          <w:color w:val="000000"/>
          <w:sz w:val="24"/>
          <w:szCs w:val="24"/>
        </w:rPr>
        <w:t>). In post-recession Spain, from researchers’ sample of people experiencing PTSD from evictions 88%</w:t>
      </w:r>
      <w:r w:rsidR="0020046C" w:rsidRPr="00F92330">
        <w:rPr>
          <w:rFonts w:eastAsia="Times New Roman" w:cstheme="minorHAnsi"/>
          <w:color w:val="000000"/>
          <w:sz w:val="24"/>
          <w:szCs w:val="24"/>
        </w:rPr>
        <w:t xml:space="preserve"> of respondents experienced depression above the 80</w:t>
      </w:r>
      <w:r w:rsidR="0020046C" w:rsidRPr="00F92330">
        <w:rPr>
          <w:rFonts w:eastAsia="Times New Roman" w:cstheme="minorHAnsi"/>
          <w:color w:val="000000"/>
          <w:sz w:val="24"/>
          <w:szCs w:val="24"/>
          <w:vertAlign w:val="superscript"/>
        </w:rPr>
        <w:t>th</w:t>
      </w:r>
      <w:r w:rsidR="0020046C" w:rsidRPr="00F92330">
        <w:rPr>
          <w:rFonts w:eastAsia="Times New Roman" w:cstheme="minorHAnsi"/>
          <w:color w:val="000000"/>
          <w:sz w:val="24"/>
          <w:szCs w:val="24"/>
        </w:rPr>
        <w:t xml:space="preserve"> percentile on the medical scale for depressive symptomology. </w:t>
      </w:r>
      <w:r w:rsidR="009F22EA" w:rsidRPr="00F92330">
        <w:rPr>
          <w:rFonts w:eastAsia="Times New Roman" w:cstheme="minorHAnsi"/>
          <w:color w:val="000000"/>
          <w:sz w:val="24"/>
          <w:szCs w:val="24"/>
        </w:rPr>
        <w:t xml:space="preserve">For </w:t>
      </w:r>
      <w:r w:rsidR="0020046C" w:rsidRPr="00F92330">
        <w:rPr>
          <w:rFonts w:eastAsia="Times New Roman" w:cstheme="minorHAnsi"/>
          <w:color w:val="000000"/>
          <w:sz w:val="24"/>
          <w:szCs w:val="24"/>
        </w:rPr>
        <w:t>anxiety 91%</w:t>
      </w:r>
      <w:r w:rsidR="009F22EA" w:rsidRPr="00F92330">
        <w:rPr>
          <w:rFonts w:eastAsia="Times New Roman" w:cstheme="minorHAnsi"/>
          <w:color w:val="000000"/>
          <w:sz w:val="24"/>
          <w:szCs w:val="24"/>
        </w:rPr>
        <w:t xml:space="preserve"> of respondents reported above the 80</w:t>
      </w:r>
      <w:r w:rsidR="009F22EA" w:rsidRPr="00F92330">
        <w:rPr>
          <w:rFonts w:eastAsia="Times New Roman" w:cstheme="minorHAnsi"/>
          <w:color w:val="000000"/>
          <w:sz w:val="24"/>
          <w:szCs w:val="24"/>
          <w:vertAlign w:val="superscript"/>
        </w:rPr>
        <w:t>th</w:t>
      </w:r>
      <w:r w:rsidR="009F22EA" w:rsidRPr="00F92330">
        <w:rPr>
          <w:rFonts w:eastAsia="Times New Roman" w:cstheme="minorHAnsi"/>
          <w:color w:val="000000"/>
          <w:sz w:val="24"/>
          <w:szCs w:val="24"/>
        </w:rPr>
        <w:t xml:space="preserve"> percentile</w:t>
      </w:r>
      <w:r w:rsidR="0020046C" w:rsidRPr="00F92330">
        <w:rPr>
          <w:rFonts w:eastAsia="Times New Roman" w:cstheme="minorHAnsi"/>
          <w:color w:val="000000"/>
          <w:sz w:val="24"/>
          <w:szCs w:val="24"/>
        </w:rPr>
        <w:t xml:space="preserve">. </w:t>
      </w:r>
      <w:r w:rsidRPr="00F92330">
        <w:rPr>
          <w:rFonts w:eastAsia="Times New Roman" w:cstheme="minorHAnsi"/>
          <w:color w:val="000000"/>
          <w:sz w:val="24"/>
          <w:szCs w:val="24"/>
        </w:rPr>
        <w:t xml:space="preserve">In both Desmond and the Spanish researchers’ work, both depression and anxiety had long-term </w:t>
      </w:r>
      <w:r w:rsidRPr="00F92330">
        <w:rPr>
          <w:rFonts w:eastAsia="Times New Roman" w:cstheme="minorHAnsi"/>
          <w:color w:val="000000"/>
          <w:sz w:val="24"/>
          <w:szCs w:val="24"/>
        </w:rPr>
        <w:lastRenderedPageBreak/>
        <w:t>impacts, and escalated over time, specifically depression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F320D9" w:rsidRPr="00F92330">
        <w:rPr>
          <w:rFonts w:eastAsia="Times New Roman" w:cstheme="minorHAnsi"/>
          <w:color w:val="000000"/>
          <w:sz w:val="24"/>
          <w:szCs w:val="24"/>
        </w:rPr>
        <w:t>,</w:t>
      </w:r>
      <w:proofErr w:type="gramEnd"/>
      <w:r w:rsidR="00F320D9" w:rsidRPr="00F92330">
        <w:rPr>
          <w:rFonts w:eastAsia="Times New Roman" w:cstheme="minorHAnsi"/>
          <w:color w:val="000000"/>
          <w:sz w:val="24"/>
          <w:szCs w:val="24"/>
        </w:rPr>
        <w:t xml:space="preserve"> 2017</w:t>
      </w:r>
      <w:r w:rsidR="00B82A47" w:rsidRPr="00F92330">
        <w:rPr>
          <w:rFonts w:eastAsia="Times New Roman" w:cstheme="minorHAnsi"/>
          <w:color w:val="000000"/>
          <w:sz w:val="24"/>
          <w:szCs w:val="24"/>
        </w:rPr>
        <w:t>;</w:t>
      </w:r>
      <w:r w:rsidRPr="00F92330">
        <w:rPr>
          <w:rFonts w:eastAsia="Times New Roman" w:cstheme="minorHAnsi"/>
          <w:color w:val="000000"/>
          <w:sz w:val="24"/>
          <w:szCs w:val="24"/>
        </w:rPr>
        <w:t xml:space="preserve"> </w:t>
      </w:r>
      <w:r w:rsidR="00F320D9" w:rsidRPr="00F92330">
        <w:rPr>
          <w:rFonts w:eastAsia="Times New Roman" w:cstheme="minorHAnsi"/>
          <w:color w:val="000000"/>
          <w:sz w:val="24"/>
          <w:szCs w:val="24"/>
        </w:rPr>
        <w:t>Mateo-Rodríguez et al, 2019</w:t>
      </w:r>
      <w:r w:rsidRPr="00F92330">
        <w:rPr>
          <w:rFonts w:eastAsia="Times New Roman" w:cstheme="minorHAnsi"/>
          <w:color w:val="000000"/>
          <w:sz w:val="24"/>
          <w:szCs w:val="24"/>
        </w:rPr>
        <w:t xml:space="preserve">, </w:t>
      </w:r>
      <w:r w:rsidR="00367B0F" w:rsidRPr="00F92330">
        <w:rPr>
          <w:rFonts w:cstheme="minorHAnsi"/>
          <w:color w:val="2A2A2A"/>
          <w:sz w:val="24"/>
          <w:szCs w:val="24"/>
          <w:shd w:val="clear" w:color="auto" w:fill="FFFFFF"/>
        </w:rPr>
        <w:t>Desmond et al, 2015</w:t>
      </w:r>
      <w:r w:rsidRPr="00F92330">
        <w:rPr>
          <w:rFonts w:eastAsia="Times New Roman" w:cstheme="minorHAnsi"/>
          <w:color w:val="000000"/>
          <w:sz w:val="24"/>
          <w:szCs w:val="24"/>
        </w:rPr>
        <w:t>).</w:t>
      </w:r>
    </w:p>
    <w:p w14:paraId="67419E3B" w14:textId="17E86664" w:rsidR="00FA3B09" w:rsidRPr="00F92330" w:rsidRDefault="00FA3B09"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Experiences with depression and anxiety hit women harder. Women were more likely to report symptoms of depression and anxiety, and those symptoms were more likely to last longer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F320D9" w:rsidRPr="00F92330">
        <w:rPr>
          <w:rFonts w:eastAsia="Times New Roman" w:cstheme="minorHAnsi"/>
          <w:color w:val="000000"/>
          <w:sz w:val="24"/>
          <w:szCs w:val="24"/>
        </w:rPr>
        <w:t>,</w:t>
      </w:r>
      <w:proofErr w:type="gramEnd"/>
      <w:r w:rsidR="00F320D9" w:rsidRPr="00F92330">
        <w:rPr>
          <w:rFonts w:eastAsia="Times New Roman" w:cstheme="minorHAnsi"/>
          <w:color w:val="000000"/>
          <w:sz w:val="24"/>
          <w:szCs w:val="24"/>
        </w:rPr>
        <w:t xml:space="preserve"> 2017 </w:t>
      </w:r>
      <w:r w:rsidRPr="00F92330">
        <w:rPr>
          <w:rFonts w:eastAsia="Times New Roman" w:cstheme="minorHAnsi"/>
          <w:color w:val="000000"/>
          <w:sz w:val="24"/>
          <w:szCs w:val="24"/>
        </w:rPr>
        <w:t xml:space="preserve">) In a study on risks related to pregnancy, women who had experienced a foreclosure in the last 2 years were at 76% higher risk </w:t>
      </w:r>
      <w:r w:rsidR="00514CAD" w:rsidRPr="00F92330">
        <w:rPr>
          <w:rFonts w:eastAsia="Times New Roman" w:cstheme="minorHAnsi"/>
          <w:color w:val="000000"/>
          <w:sz w:val="24"/>
          <w:szCs w:val="24"/>
        </w:rPr>
        <w:t>for complications</w:t>
      </w:r>
      <w:r w:rsidRPr="00F92330">
        <w:rPr>
          <w:rFonts w:eastAsia="Times New Roman" w:cstheme="minorHAnsi"/>
          <w:color w:val="000000"/>
          <w:sz w:val="24"/>
          <w:szCs w:val="24"/>
        </w:rPr>
        <w:t xml:space="preserve"> </w:t>
      </w:r>
      <w:r w:rsidR="00514CAD" w:rsidRPr="00F92330">
        <w:rPr>
          <w:rFonts w:eastAsia="Times New Roman" w:cstheme="minorHAnsi"/>
          <w:color w:val="000000"/>
          <w:sz w:val="24"/>
          <w:szCs w:val="24"/>
        </w:rPr>
        <w:t>during</w:t>
      </w:r>
      <w:r w:rsidRPr="00F92330">
        <w:rPr>
          <w:rFonts w:eastAsia="Times New Roman" w:cstheme="minorHAnsi"/>
          <w:color w:val="000000"/>
          <w:sz w:val="24"/>
          <w:szCs w:val="24"/>
        </w:rPr>
        <w:t xml:space="preserve"> pregnancy, and faced a 17% excess absolute risk of severe depression and higher scores of depression before childbirth broadly (</w:t>
      </w:r>
      <w:proofErr w:type="spellStart"/>
      <w:r w:rsidR="00367B0F" w:rsidRPr="00F92330">
        <w:rPr>
          <w:rFonts w:cstheme="minorHAnsi"/>
          <w:sz w:val="24"/>
          <w:szCs w:val="24"/>
        </w:rPr>
        <w:t>Osypuk</w:t>
      </w:r>
      <w:proofErr w:type="spellEnd"/>
      <w:r w:rsidR="00367B0F" w:rsidRPr="00F92330">
        <w:rPr>
          <w:rFonts w:cstheme="minorHAnsi"/>
          <w:sz w:val="24"/>
          <w:szCs w:val="24"/>
        </w:rPr>
        <w:t>, 2012</w:t>
      </w:r>
      <w:r w:rsidRPr="00F92330">
        <w:rPr>
          <w:rFonts w:eastAsia="Times New Roman" w:cstheme="minorHAnsi"/>
          <w:color w:val="000000"/>
          <w:sz w:val="24"/>
          <w:szCs w:val="24"/>
        </w:rPr>
        <w:t xml:space="preserve">) </w:t>
      </w:r>
      <w:r w:rsidR="00C060EA" w:rsidRPr="00F92330">
        <w:rPr>
          <w:rFonts w:eastAsia="Times New Roman" w:cstheme="minorHAnsi"/>
          <w:color w:val="000000"/>
          <w:sz w:val="24"/>
          <w:szCs w:val="24"/>
        </w:rPr>
        <w:t>.</w:t>
      </w:r>
    </w:p>
    <w:p w14:paraId="5B603684" w14:textId="6F8CF9EA" w:rsidR="00FA3B09" w:rsidRPr="00F92330" w:rsidRDefault="00FA3B09" w:rsidP="008420E0">
      <w:pPr>
        <w:spacing w:after="120" w:line="240" w:lineRule="auto"/>
        <w:rPr>
          <w:rFonts w:cstheme="minorHAnsi"/>
          <w:sz w:val="24"/>
          <w:szCs w:val="24"/>
        </w:rPr>
      </w:pPr>
    </w:p>
    <w:p w14:paraId="0EAC9655" w14:textId="77777777" w:rsidR="0028438D" w:rsidRPr="00F92330" w:rsidRDefault="0028438D" w:rsidP="008420E0">
      <w:pPr>
        <w:spacing w:after="120" w:line="240" w:lineRule="auto"/>
        <w:rPr>
          <w:rStyle w:val="IntenseEmphasis"/>
          <w:rFonts w:cstheme="minorHAnsi"/>
          <w:sz w:val="24"/>
          <w:szCs w:val="24"/>
        </w:rPr>
      </w:pPr>
      <w:r w:rsidRPr="00F92330">
        <w:rPr>
          <w:rStyle w:val="IntenseEmphasis"/>
          <w:rFonts w:cstheme="minorHAnsi"/>
          <w:sz w:val="24"/>
          <w:szCs w:val="24"/>
        </w:rPr>
        <w:t>Suicide</w:t>
      </w:r>
    </w:p>
    <w:p w14:paraId="0E0FFA46" w14:textId="218E7302" w:rsidR="0028438D" w:rsidRPr="00F92330" w:rsidRDefault="0028438D"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The research I reviewed underscore a striking connection between eviction and suicide. Four different papers studied increased risk of suicide associated with evictions and foreclosures.  Three of these papers were qualitative studies that reported similar themes of increasing pressure during the eviction or foreclosure process leading to increased reporting of suicidal ideation, attempts, and actual suicides. </w:t>
      </w:r>
    </w:p>
    <w:p w14:paraId="0145508F" w14:textId="02CF3B74" w:rsidR="00206206" w:rsidRPr="00F92330" w:rsidRDefault="00206206"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Simply entering the process of eviction or foreclosure increases pressures which drive higher suicides rates. Such pressures persist until the end of the eviction process and then immediately decrease after the result of the unlawful detainer hearing. The longer the eviction process lasts, the more likely it is that someone will commit suicide. Symptomology of psychological distress and suicide rates especially increased with events such as threatening phone calls from banks during a foreclosure process, and especially among men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762FA0" w:rsidRPr="00F92330">
        <w:rPr>
          <w:rFonts w:eastAsia="Times New Roman" w:cstheme="minorHAnsi"/>
          <w:color w:val="000000"/>
          <w:sz w:val="24"/>
          <w:szCs w:val="24"/>
        </w:rPr>
        <w:t>,</w:t>
      </w:r>
      <w:proofErr w:type="gramEnd"/>
      <w:r w:rsidR="00762FA0" w:rsidRPr="00F92330">
        <w:rPr>
          <w:rFonts w:eastAsia="Times New Roman" w:cstheme="minorHAnsi"/>
          <w:color w:val="000000"/>
          <w:sz w:val="24"/>
          <w:szCs w:val="24"/>
        </w:rPr>
        <w:t xml:space="preserve"> 2017</w:t>
      </w:r>
      <w:r w:rsidRPr="00F92330">
        <w:rPr>
          <w:rFonts w:eastAsia="Times New Roman" w:cstheme="minorHAnsi"/>
          <w:color w:val="000000"/>
          <w:sz w:val="24"/>
          <w:szCs w:val="24"/>
        </w:rPr>
        <w:t>).</w:t>
      </w:r>
    </w:p>
    <w:p w14:paraId="5FE0D511" w14:textId="22272D96" w:rsidR="00206206" w:rsidRPr="00F92330" w:rsidRDefault="00206206"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In each study, male participants were more likely to commit suicide and less likely to ask for help. Concerns about perception related to stigmatization of mental health disorder, or about coercive familial options for help often dissuaded men from pursuing those options. However, when men did reach out for help, any instance of assistance whether from state institutions or from family was likely to reduce the likelihood of mental health disorders or suicide. (</w:t>
      </w:r>
      <w:r w:rsidR="00367B0F" w:rsidRPr="00F92330">
        <w:rPr>
          <w:rFonts w:eastAsia="Times New Roman" w:cstheme="minorHAnsi"/>
          <w:color w:val="000000"/>
          <w:sz w:val="24"/>
          <w:szCs w:val="24"/>
        </w:rPr>
        <w:t>Tsai et al, 2015</w:t>
      </w:r>
      <w:r w:rsidRPr="00F92330">
        <w:rPr>
          <w:rFonts w:eastAsia="Times New Roman" w:cstheme="minorHAnsi"/>
          <w:color w:val="000000"/>
          <w:sz w:val="24"/>
          <w:szCs w:val="24"/>
        </w:rPr>
        <w:t xml:space="preserve">, </w:t>
      </w:r>
      <w:r w:rsidR="007157F6" w:rsidRPr="00F92330">
        <w:rPr>
          <w:rFonts w:eastAsia="Times New Roman" w:cstheme="minorHAnsi"/>
          <w:color w:val="000000"/>
          <w:sz w:val="24"/>
          <w:szCs w:val="24"/>
        </w:rPr>
        <w:t xml:space="preserve">Ortega et al, </w:t>
      </w:r>
      <w:proofErr w:type="gramStart"/>
      <w:r w:rsidR="007157F6" w:rsidRPr="00F92330">
        <w:rPr>
          <w:rFonts w:eastAsia="Times New Roman" w:cstheme="minorHAnsi"/>
          <w:color w:val="000000"/>
          <w:sz w:val="24"/>
          <w:szCs w:val="24"/>
        </w:rPr>
        <w:t xml:space="preserve">2017 </w:t>
      </w:r>
      <w:r w:rsidR="00F320D9" w:rsidRPr="00F92330">
        <w:rPr>
          <w:rFonts w:eastAsia="Times New Roman" w:cstheme="minorHAnsi"/>
          <w:color w:val="000000"/>
          <w:sz w:val="24"/>
          <w:szCs w:val="24"/>
        </w:rPr>
        <w:t>,</w:t>
      </w:r>
      <w:proofErr w:type="gramEnd"/>
      <w:r w:rsidR="00F320D9" w:rsidRPr="00F92330">
        <w:rPr>
          <w:rFonts w:eastAsia="Times New Roman" w:cstheme="minorHAnsi"/>
          <w:color w:val="000000"/>
          <w:sz w:val="24"/>
          <w:szCs w:val="24"/>
        </w:rPr>
        <w:t xml:space="preserve"> 2017</w:t>
      </w:r>
      <w:r w:rsidR="006738A0" w:rsidRPr="00F92330">
        <w:rPr>
          <w:rFonts w:eastAsia="Times New Roman" w:cstheme="minorHAnsi"/>
          <w:color w:val="000000"/>
          <w:sz w:val="24"/>
          <w:szCs w:val="24"/>
        </w:rPr>
        <w:t>;</w:t>
      </w:r>
      <w:r w:rsidRPr="00F92330">
        <w:rPr>
          <w:rFonts w:eastAsia="Times New Roman" w:cstheme="minorHAnsi"/>
          <w:color w:val="000000"/>
          <w:sz w:val="24"/>
          <w:szCs w:val="24"/>
        </w:rPr>
        <w:t xml:space="preserve"> </w:t>
      </w:r>
      <w:r w:rsidR="00F320D9" w:rsidRPr="00F92330">
        <w:rPr>
          <w:rFonts w:eastAsia="Times New Roman" w:cstheme="minorHAnsi"/>
          <w:color w:val="000000"/>
          <w:sz w:val="24"/>
          <w:szCs w:val="24"/>
        </w:rPr>
        <w:t>Mateo-Rodríguez et al, 2019</w:t>
      </w:r>
      <w:r w:rsidRPr="00F92330">
        <w:rPr>
          <w:rFonts w:eastAsia="Times New Roman" w:cstheme="minorHAnsi"/>
          <w:color w:val="000000"/>
          <w:sz w:val="24"/>
          <w:szCs w:val="24"/>
        </w:rPr>
        <w:t>).</w:t>
      </w:r>
    </w:p>
    <w:p w14:paraId="3DF0A5F0" w14:textId="04168EB9" w:rsidR="0028438D" w:rsidRPr="00F92330" w:rsidRDefault="0028438D"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Clear quantitative evidence of a correlation between suicide and eviction comes from </w:t>
      </w:r>
      <w:r w:rsidR="003D5BA1" w:rsidRPr="00F92330">
        <w:rPr>
          <w:rFonts w:eastAsia="Times New Roman" w:cstheme="minorHAnsi"/>
          <w:color w:val="000000"/>
          <w:sz w:val="24"/>
          <w:szCs w:val="24"/>
        </w:rPr>
        <w:t>two</w:t>
      </w:r>
      <w:r w:rsidRPr="00F92330">
        <w:rPr>
          <w:rFonts w:eastAsia="Times New Roman" w:cstheme="minorHAnsi"/>
          <w:color w:val="000000"/>
          <w:sz w:val="24"/>
          <w:szCs w:val="24"/>
        </w:rPr>
        <w:t xml:space="preserve"> stud</w:t>
      </w:r>
      <w:r w:rsidR="003D5BA1" w:rsidRPr="00F92330">
        <w:rPr>
          <w:rFonts w:eastAsia="Times New Roman" w:cstheme="minorHAnsi"/>
          <w:color w:val="000000"/>
          <w:sz w:val="24"/>
          <w:szCs w:val="24"/>
        </w:rPr>
        <w:t xml:space="preserve">ies I </w:t>
      </w:r>
      <w:r w:rsidR="00927C03" w:rsidRPr="00F92330">
        <w:rPr>
          <w:rFonts w:eastAsia="Times New Roman" w:cstheme="minorHAnsi"/>
          <w:color w:val="000000"/>
          <w:sz w:val="24"/>
          <w:szCs w:val="24"/>
        </w:rPr>
        <w:t>reviewed</w:t>
      </w:r>
      <w:r w:rsidR="003D5BA1" w:rsidRPr="00F92330">
        <w:rPr>
          <w:rFonts w:eastAsia="Times New Roman" w:cstheme="minorHAnsi"/>
          <w:color w:val="000000"/>
          <w:sz w:val="24"/>
          <w:szCs w:val="24"/>
        </w:rPr>
        <w:t>. One</w:t>
      </w:r>
      <w:r w:rsidRPr="00F92330">
        <w:rPr>
          <w:rFonts w:eastAsia="Times New Roman" w:cstheme="minorHAnsi"/>
          <w:color w:val="000000"/>
          <w:sz w:val="24"/>
          <w:szCs w:val="24"/>
        </w:rPr>
        <w:t xml:space="preserve"> reviewed approximately 900 suicides from 16 states in relation to eviction and foreclosure events during the years of 2005-2010. At the height of the recession in 2008 eviction and foreclosure related suicides peaked</w:t>
      </w:r>
      <w:r w:rsidR="005E6EF0" w:rsidRPr="00F92330">
        <w:rPr>
          <w:rFonts w:eastAsia="Times New Roman" w:cstheme="minorHAnsi"/>
          <w:color w:val="000000"/>
          <w:sz w:val="24"/>
          <w:szCs w:val="24"/>
        </w:rPr>
        <w:t>, then</w:t>
      </w:r>
      <w:r w:rsidRPr="00F92330">
        <w:rPr>
          <w:rFonts w:eastAsia="Times New Roman" w:cstheme="minorHAnsi"/>
          <w:color w:val="000000"/>
          <w:sz w:val="24"/>
          <w:szCs w:val="24"/>
        </w:rPr>
        <w:t xml:space="preserve"> dropped in 2009 even though suicides related to other factors continued to increase. </w:t>
      </w:r>
      <w:r w:rsidR="003D5BA1" w:rsidRPr="00F92330">
        <w:rPr>
          <w:rFonts w:eastAsia="Times New Roman" w:cstheme="minorHAnsi"/>
          <w:color w:val="000000"/>
          <w:sz w:val="24"/>
          <w:szCs w:val="24"/>
        </w:rPr>
        <w:t xml:space="preserve">In </w:t>
      </w:r>
      <w:r w:rsidRPr="00F92330">
        <w:rPr>
          <w:rFonts w:eastAsia="Times New Roman" w:cstheme="minorHAnsi"/>
          <w:color w:val="000000"/>
          <w:sz w:val="24"/>
          <w:szCs w:val="24"/>
        </w:rPr>
        <w:t>1 out of each 8 of these cases, evictions or foreclosure and were the contributing factors in suicides. (</w:t>
      </w:r>
      <w:r w:rsidR="00367B0F" w:rsidRPr="00F92330">
        <w:rPr>
          <w:rFonts w:cstheme="minorHAnsi"/>
          <w:sz w:val="24"/>
          <w:szCs w:val="24"/>
        </w:rPr>
        <w:t>Fowler et al, 2015</w:t>
      </w:r>
      <w:r w:rsidRPr="00F92330">
        <w:rPr>
          <w:rFonts w:cstheme="minorHAnsi"/>
          <w:sz w:val="24"/>
          <w:szCs w:val="24"/>
        </w:rPr>
        <w:t>)</w:t>
      </w:r>
    </w:p>
    <w:p w14:paraId="483597B1" w14:textId="42A7132B" w:rsidR="0028438D" w:rsidRPr="00F92330" w:rsidRDefault="0028438D" w:rsidP="008420E0">
      <w:pPr>
        <w:spacing w:after="120" w:line="240" w:lineRule="auto"/>
        <w:rPr>
          <w:rFonts w:eastAsia="Times New Roman" w:cstheme="minorHAnsi"/>
          <w:b/>
          <w:bCs/>
          <w:color w:val="000000"/>
          <w:sz w:val="24"/>
          <w:szCs w:val="24"/>
        </w:rPr>
      </w:pPr>
      <w:r w:rsidRPr="00F92330">
        <w:rPr>
          <w:rFonts w:eastAsia="Times New Roman" w:cstheme="minorHAnsi"/>
          <w:color w:val="000000"/>
          <w:sz w:val="24"/>
          <w:szCs w:val="24"/>
        </w:rPr>
        <w:t xml:space="preserve">Most troubling is the statistically significant correlation that Swedish researchers found while looking at home evictions after the recession. They found that the cohort they were examining was 9 times more likely to commit suicide than the comparison group. Researchers in this study controlled for all other risks to look at whether eviction stood on its own as a risk factor. Their variables included unemployment, receiving welfare, education, region, family makeup, and involvement in crime. Controlling for each of these variables weakened the connection </w:t>
      </w:r>
      <w:r w:rsidRPr="00F92330">
        <w:rPr>
          <w:rFonts w:eastAsia="Times New Roman" w:cstheme="minorHAnsi"/>
          <w:color w:val="000000"/>
          <w:sz w:val="24"/>
          <w:szCs w:val="24"/>
        </w:rPr>
        <w:lastRenderedPageBreak/>
        <w:t>between eviction and suicide, but the connection remained statistically significant (</w:t>
      </w:r>
      <w:r w:rsidR="003B090C" w:rsidRPr="00F92330">
        <w:rPr>
          <w:rFonts w:eastAsia="Times New Roman" w:cstheme="minorHAnsi"/>
          <w:color w:val="000000"/>
          <w:sz w:val="24"/>
          <w:szCs w:val="24"/>
        </w:rPr>
        <w:t>Rojas &amp; Stenberg, 2016</w:t>
      </w:r>
      <w:r w:rsidRPr="00F92330">
        <w:rPr>
          <w:rFonts w:eastAsia="Times New Roman" w:cstheme="minorHAnsi"/>
          <w:color w:val="000000"/>
          <w:sz w:val="24"/>
          <w:szCs w:val="24"/>
        </w:rPr>
        <w:t>).</w:t>
      </w:r>
      <w:r w:rsidRPr="00F92330">
        <w:rPr>
          <w:rFonts w:eastAsia="Times New Roman" w:cstheme="minorHAnsi"/>
          <w:b/>
          <w:bCs/>
          <w:color w:val="000000"/>
          <w:sz w:val="24"/>
          <w:szCs w:val="24"/>
        </w:rPr>
        <w:t xml:space="preserve"> </w:t>
      </w:r>
    </w:p>
    <w:p w14:paraId="7185A12E" w14:textId="77777777" w:rsidR="003B06FF" w:rsidRDefault="003B06FF" w:rsidP="008420E0">
      <w:pPr>
        <w:spacing w:after="120" w:line="240" w:lineRule="auto"/>
        <w:rPr>
          <w:rStyle w:val="IntenseReference"/>
          <w:rFonts w:cstheme="minorHAnsi"/>
          <w:sz w:val="24"/>
          <w:szCs w:val="24"/>
        </w:rPr>
      </w:pPr>
    </w:p>
    <w:p w14:paraId="71785493" w14:textId="217A7274" w:rsidR="00FC4E43" w:rsidRPr="00F92330" w:rsidRDefault="00FC4E43" w:rsidP="008420E0">
      <w:pPr>
        <w:spacing w:after="120" w:line="240" w:lineRule="auto"/>
        <w:rPr>
          <w:rStyle w:val="IntenseReference"/>
          <w:rFonts w:cstheme="minorHAnsi"/>
          <w:sz w:val="24"/>
          <w:szCs w:val="24"/>
        </w:rPr>
      </w:pPr>
      <w:r w:rsidRPr="00F92330">
        <w:rPr>
          <w:rStyle w:val="IntenseReference"/>
          <w:rFonts w:cstheme="minorHAnsi"/>
          <w:sz w:val="24"/>
          <w:szCs w:val="24"/>
        </w:rPr>
        <w:t>Types of Interventions</w:t>
      </w:r>
    </w:p>
    <w:p w14:paraId="305189CF" w14:textId="77777777" w:rsidR="00FC4E43"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Many intervention strategies exist around housing instability, eviction, and homelessness that tackle these issues with a broad spectrum of policy motives. </w:t>
      </w:r>
      <w:bookmarkStart w:id="9" w:name="_Hlk70513113"/>
      <w:r w:rsidRPr="00F92330">
        <w:rPr>
          <w:rFonts w:eastAsia="Times New Roman" w:cstheme="minorHAnsi"/>
          <w:color w:val="000000"/>
          <w:sz w:val="24"/>
          <w:szCs w:val="24"/>
        </w:rPr>
        <w:t>This section reviews intervention strategies over the course of the eviction process, and examines common themes raised in research that focuses on these interventions.</w:t>
      </w:r>
      <w:bookmarkEnd w:id="9"/>
    </w:p>
    <w:p w14:paraId="52FA8B11" w14:textId="28CDA0D2" w:rsidR="00FC4E43"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Interventions take on several forms, which I have grouped according to their impact. I have assembled </w:t>
      </w:r>
      <w:r w:rsidR="00B27E51" w:rsidRPr="00F92330">
        <w:rPr>
          <w:rFonts w:eastAsia="Times New Roman" w:cstheme="minorHAnsi"/>
          <w:color w:val="000000"/>
          <w:sz w:val="24"/>
          <w:szCs w:val="24"/>
        </w:rPr>
        <w:t>the following</w:t>
      </w:r>
      <w:r w:rsidRPr="00F92330">
        <w:rPr>
          <w:rFonts w:eastAsia="Times New Roman" w:cstheme="minorHAnsi"/>
          <w:color w:val="000000"/>
          <w:sz w:val="24"/>
          <w:szCs w:val="24"/>
        </w:rPr>
        <w:t xml:space="preserve"> list of criteria by which I measure interventions to rate their effectiveness</w:t>
      </w:r>
      <w:r w:rsidR="00B27E51" w:rsidRPr="00F92330">
        <w:rPr>
          <w:rFonts w:eastAsia="Times New Roman" w:cstheme="minorHAnsi"/>
          <w:color w:val="000000"/>
          <w:sz w:val="24"/>
          <w:szCs w:val="24"/>
        </w:rPr>
        <w:t>.</w:t>
      </w:r>
    </w:p>
    <w:p w14:paraId="0F2AC497" w14:textId="77777777" w:rsidR="00FC4E43"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Direct Interventions:</w:t>
      </w:r>
    </w:p>
    <w:p w14:paraId="6F32D994" w14:textId="77777777" w:rsidR="00FC4E43" w:rsidRPr="00F92330" w:rsidRDefault="00FC4E43" w:rsidP="003B06FF">
      <w:pPr>
        <w:pStyle w:val="ListParagraph"/>
        <w:numPr>
          <w:ilvl w:val="0"/>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The intervention stops eviction.</w:t>
      </w:r>
    </w:p>
    <w:p w14:paraId="0CD20046" w14:textId="77777777" w:rsidR="00FC4E43" w:rsidRPr="00F92330" w:rsidRDefault="00FC4E43" w:rsidP="003B06FF">
      <w:pPr>
        <w:pStyle w:val="ListParagraph"/>
        <w:numPr>
          <w:ilvl w:val="1"/>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Eviction is the traumatic event that triggers increases in all forms of mental health disorders and suicides. Stopping evictions from happening is the most effective way to protect the mental health of tenants.</w:t>
      </w:r>
    </w:p>
    <w:p w14:paraId="6F613A7E" w14:textId="77777777" w:rsidR="00FC4E43" w:rsidRPr="00F92330" w:rsidRDefault="00FC4E43" w:rsidP="003B06FF">
      <w:pPr>
        <w:pStyle w:val="ListParagraph"/>
        <w:numPr>
          <w:ilvl w:val="0"/>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The intervention directly targets a person’s mental health.</w:t>
      </w:r>
    </w:p>
    <w:p w14:paraId="000DF567" w14:textId="77777777" w:rsidR="00FC4E43" w:rsidRPr="00F92330" w:rsidRDefault="00FC4E43" w:rsidP="003B06FF">
      <w:pPr>
        <w:pStyle w:val="ListParagraph"/>
        <w:numPr>
          <w:ilvl w:val="1"/>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 xml:space="preserve">Improving a person’s mental health, and their resiliency to traumatic events is important where evictions cannot </w:t>
      </w:r>
      <w:proofErr w:type="gramStart"/>
      <w:r w:rsidRPr="00F92330">
        <w:rPr>
          <w:rFonts w:eastAsia="Times New Roman" w:cstheme="minorHAnsi"/>
          <w:color w:val="000000"/>
          <w:sz w:val="24"/>
          <w:szCs w:val="24"/>
        </w:rPr>
        <w:t>be stopped</w:t>
      </w:r>
      <w:proofErr w:type="gramEnd"/>
      <w:r w:rsidRPr="00F92330">
        <w:rPr>
          <w:rFonts w:eastAsia="Times New Roman" w:cstheme="minorHAnsi"/>
          <w:color w:val="000000"/>
          <w:sz w:val="24"/>
          <w:szCs w:val="24"/>
        </w:rPr>
        <w:t>. Improving people’s mental health also has an impact on reducing the likelihood that a person will face eviction, if the eviction is because of circumstances that person can control.</w:t>
      </w:r>
    </w:p>
    <w:p w14:paraId="46AE49D4" w14:textId="77777777" w:rsidR="00FC4E43" w:rsidRPr="00F92330" w:rsidRDefault="00FC4E43" w:rsidP="003B06FF">
      <w:pPr>
        <w:spacing w:after="100" w:line="240" w:lineRule="auto"/>
        <w:rPr>
          <w:rFonts w:eastAsia="Times New Roman" w:cstheme="minorHAnsi"/>
          <w:color w:val="000000"/>
          <w:sz w:val="24"/>
          <w:szCs w:val="24"/>
        </w:rPr>
      </w:pPr>
      <w:r w:rsidRPr="00F92330">
        <w:rPr>
          <w:rFonts w:eastAsia="Times New Roman" w:cstheme="minorHAnsi"/>
          <w:color w:val="000000"/>
          <w:sz w:val="24"/>
          <w:szCs w:val="24"/>
        </w:rPr>
        <w:t>Passive Interventions:</w:t>
      </w:r>
    </w:p>
    <w:p w14:paraId="3BB5D8AE" w14:textId="77777777" w:rsidR="00FC4E43" w:rsidRPr="00F92330" w:rsidRDefault="00FC4E43" w:rsidP="003B06FF">
      <w:pPr>
        <w:pStyle w:val="ListParagraph"/>
        <w:numPr>
          <w:ilvl w:val="0"/>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The intervention creates greater housing stability.</w:t>
      </w:r>
    </w:p>
    <w:p w14:paraId="4A465983" w14:textId="77777777" w:rsidR="00FC4E43" w:rsidRPr="00F92330" w:rsidRDefault="00FC4E43" w:rsidP="003B06FF">
      <w:pPr>
        <w:pStyle w:val="ListParagraph"/>
        <w:numPr>
          <w:ilvl w:val="1"/>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Creating housing stability means that people have more controls to stay in their homes without having to actively respond to move-out or eviction notices.</w:t>
      </w:r>
    </w:p>
    <w:p w14:paraId="07E4C950" w14:textId="77777777" w:rsidR="00FC4E43" w:rsidRPr="00F92330" w:rsidRDefault="00FC4E43" w:rsidP="003B06FF">
      <w:pPr>
        <w:pStyle w:val="ListParagraph"/>
        <w:numPr>
          <w:ilvl w:val="0"/>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The intervention creates greater housing affordability.</w:t>
      </w:r>
    </w:p>
    <w:p w14:paraId="6F0BC9EB" w14:textId="77777777" w:rsidR="00FC4E43" w:rsidRPr="00F92330" w:rsidRDefault="00FC4E43" w:rsidP="003B06FF">
      <w:pPr>
        <w:pStyle w:val="ListParagraph"/>
        <w:numPr>
          <w:ilvl w:val="1"/>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 xml:space="preserve">Affordable housing means that people </w:t>
      </w:r>
      <w:proofErr w:type="gramStart"/>
      <w:r w:rsidRPr="00F92330">
        <w:rPr>
          <w:rFonts w:eastAsia="Times New Roman" w:cstheme="minorHAnsi"/>
          <w:color w:val="000000"/>
          <w:sz w:val="24"/>
          <w:szCs w:val="24"/>
        </w:rPr>
        <w:t>have the ability to</w:t>
      </w:r>
      <w:proofErr w:type="gramEnd"/>
      <w:r w:rsidRPr="00F92330">
        <w:rPr>
          <w:rFonts w:eastAsia="Times New Roman" w:cstheme="minorHAnsi"/>
          <w:color w:val="000000"/>
          <w:sz w:val="24"/>
          <w:szCs w:val="24"/>
        </w:rPr>
        <w:t xml:space="preserve"> easily afford a different place to live if they move out or are evicted from their current residence.</w:t>
      </w:r>
    </w:p>
    <w:p w14:paraId="79D37AA2" w14:textId="77777777" w:rsidR="00FC4E43" w:rsidRPr="00F92330" w:rsidRDefault="00FC4E43" w:rsidP="003B06FF">
      <w:pPr>
        <w:spacing w:after="100" w:line="240" w:lineRule="auto"/>
        <w:rPr>
          <w:rFonts w:eastAsia="Times New Roman" w:cstheme="minorHAnsi"/>
          <w:color w:val="000000"/>
          <w:sz w:val="24"/>
          <w:szCs w:val="24"/>
        </w:rPr>
      </w:pPr>
      <w:r w:rsidRPr="00F92330">
        <w:rPr>
          <w:rFonts w:eastAsia="Times New Roman" w:cstheme="minorHAnsi"/>
          <w:color w:val="000000"/>
          <w:sz w:val="24"/>
          <w:szCs w:val="24"/>
        </w:rPr>
        <w:t>Indirect Interventions:</w:t>
      </w:r>
    </w:p>
    <w:p w14:paraId="4C9FB2A9" w14:textId="77777777" w:rsidR="00FC4E43" w:rsidRPr="00F92330" w:rsidRDefault="00FC4E43" w:rsidP="003B06FF">
      <w:pPr>
        <w:pStyle w:val="ListParagraph"/>
        <w:numPr>
          <w:ilvl w:val="0"/>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 xml:space="preserve">The intervention creates support </w:t>
      </w:r>
      <w:proofErr w:type="gramStart"/>
      <w:r w:rsidRPr="00F92330">
        <w:rPr>
          <w:rFonts w:eastAsia="Times New Roman" w:cstheme="minorHAnsi"/>
          <w:color w:val="000000"/>
          <w:sz w:val="24"/>
          <w:szCs w:val="24"/>
        </w:rPr>
        <w:t>systems</w:t>
      </w:r>
      <w:proofErr w:type="gramEnd"/>
    </w:p>
    <w:p w14:paraId="2595D477" w14:textId="77777777" w:rsidR="00FC4E43" w:rsidRPr="00F92330" w:rsidRDefault="00FC4E43" w:rsidP="003B06FF">
      <w:pPr>
        <w:pStyle w:val="ListParagraph"/>
        <w:numPr>
          <w:ilvl w:val="1"/>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 xml:space="preserve">The intervention creates better support systems for individuals undergoing the eviction process or who have already undergone the eviction </w:t>
      </w:r>
      <w:proofErr w:type="gramStart"/>
      <w:r w:rsidRPr="00F92330">
        <w:rPr>
          <w:rFonts w:eastAsia="Times New Roman" w:cstheme="minorHAnsi"/>
          <w:color w:val="000000"/>
          <w:sz w:val="24"/>
          <w:szCs w:val="24"/>
        </w:rPr>
        <w:t>process, but</w:t>
      </w:r>
      <w:proofErr w:type="gramEnd"/>
      <w:r w:rsidRPr="00F92330">
        <w:rPr>
          <w:rFonts w:eastAsia="Times New Roman" w:cstheme="minorHAnsi"/>
          <w:color w:val="000000"/>
          <w:sz w:val="24"/>
          <w:szCs w:val="24"/>
        </w:rPr>
        <w:t xml:space="preserve"> does not actively reduce evictions or provide direct support for people facing evictions.</w:t>
      </w:r>
    </w:p>
    <w:p w14:paraId="00048F42" w14:textId="77777777" w:rsidR="00FC4E43" w:rsidRPr="00F92330" w:rsidRDefault="00FC4E43" w:rsidP="003B06FF">
      <w:pPr>
        <w:pStyle w:val="ListParagraph"/>
        <w:numPr>
          <w:ilvl w:val="0"/>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The intervention provides information.</w:t>
      </w:r>
    </w:p>
    <w:p w14:paraId="49F88907" w14:textId="77777777" w:rsidR="00FC4E43" w:rsidRPr="00F92330" w:rsidRDefault="00FC4E43" w:rsidP="003B06FF">
      <w:pPr>
        <w:pStyle w:val="ListParagraph"/>
        <w:numPr>
          <w:ilvl w:val="1"/>
          <w:numId w:val="9"/>
        </w:numPr>
        <w:spacing w:after="100" w:line="240" w:lineRule="auto"/>
        <w:contextualSpacing w:val="0"/>
        <w:rPr>
          <w:rFonts w:eastAsia="Times New Roman" w:cstheme="minorHAnsi"/>
          <w:color w:val="000000"/>
          <w:sz w:val="24"/>
          <w:szCs w:val="24"/>
        </w:rPr>
      </w:pPr>
      <w:r w:rsidRPr="00F92330">
        <w:rPr>
          <w:rFonts w:eastAsia="Times New Roman" w:cstheme="minorHAnsi"/>
          <w:color w:val="000000"/>
          <w:sz w:val="24"/>
          <w:szCs w:val="24"/>
        </w:rPr>
        <w:t>Tenants can arm themselves with information about the current law but will not have a direct solution to stop evictions.</w:t>
      </w:r>
    </w:p>
    <w:p w14:paraId="14D8EE78" w14:textId="7AFEF142" w:rsidR="003B06FF" w:rsidRPr="003B06FF" w:rsidRDefault="00FC4E43" w:rsidP="008420E0">
      <w:pPr>
        <w:spacing w:after="120" w:line="240" w:lineRule="auto"/>
        <w:rPr>
          <w:rFonts w:eastAsia="Times New Roman" w:cstheme="minorHAnsi"/>
          <w:b/>
          <w:bCs/>
          <w:color w:val="000000"/>
          <w:sz w:val="24"/>
          <w:szCs w:val="24"/>
        </w:rPr>
      </w:pPr>
      <w:r w:rsidRPr="00F92330">
        <w:rPr>
          <w:rStyle w:val="IntenseReference"/>
          <w:rFonts w:cstheme="minorHAnsi"/>
          <w:sz w:val="24"/>
          <w:szCs w:val="24"/>
        </w:rPr>
        <w:lastRenderedPageBreak/>
        <w:t>Deeper into Direct Interventions</w:t>
      </w:r>
      <w:r w:rsidR="003B06FF">
        <w:rPr>
          <w:rFonts w:eastAsia="Times New Roman" w:cstheme="minorHAnsi"/>
          <w:bCs/>
          <w:iCs/>
          <w:color w:val="000000"/>
          <w:sz w:val="24"/>
          <w:szCs w:val="24"/>
        </w:rPr>
        <w:t xml:space="preserve"> </w:t>
      </w:r>
    </w:p>
    <w:p w14:paraId="2BC9D927" w14:textId="24F98E68" w:rsidR="00FC4E43" w:rsidRPr="003B06FF" w:rsidRDefault="00FC4E43" w:rsidP="008420E0">
      <w:pPr>
        <w:spacing w:after="120" w:line="240" w:lineRule="auto"/>
        <w:rPr>
          <w:rStyle w:val="IntenseEmphasis"/>
          <w:sz w:val="24"/>
          <w:szCs w:val="24"/>
        </w:rPr>
      </w:pPr>
      <w:r w:rsidRPr="003B06FF">
        <w:rPr>
          <w:rStyle w:val="IntenseEmphasis"/>
          <w:sz w:val="24"/>
          <w:szCs w:val="24"/>
        </w:rPr>
        <w:t>Permanent supportive housing</w:t>
      </w:r>
    </w:p>
    <w:p w14:paraId="799C65A9" w14:textId="36D46075" w:rsidR="00FC4E43" w:rsidRDefault="00FC4E43" w:rsidP="008420E0">
      <w:pPr>
        <w:spacing w:after="120" w:line="240" w:lineRule="auto"/>
        <w:rPr>
          <w:rFonts w:cstheme="minorHAnsi"/>
          <w:sz w:val="24"/>
          <w:szCs w:val="24"/>
        </w:rPr>
      </w:pPr>
      <w:bookmarkStart w:id="10" w:name="_Hlk70513209"/>
      <w:r w:rsidRPr="00F92330">
        <w:rPr>
          <w:rFonts w:eastAsia="Times New Roman" w:cstheme="minorHAnsi"/>
          <w:color w:val="000000"/>
          <w:sz w:val="24"/>
          <w:szCs w:val="24"/>
        </w:rPr>
        <w:t xml:space="preserve">Permanent supportive housing (PHS) is affordable housing that an organization makes available to housing instable and marginalized groups, most commonly homeless people. </w:t>
      </w:r>
      <w:bookmarkEnd w:id="10"/>
      <w:r w:rsidRPr="00F92330">
        <w:rPr>
          <w:rFonts w:cstheme="minorHAnsi"/>
          <w:sz w:val="24"/>
          <w:szCs w:val="24"/>
        </w:rPr>
        <w:t>Several forms of PHS serve different populations in different areas of the city.</w:t>
      </w:r>
    </w:p>
    <w:p w14:paraId="0C8546EB" w14:textId="2F85C23C" w:rsidR="009A35D0" w:rsidRDefault="009A35D0" w:rsidP="008420E0">
      <w:pPr>
        <w:spacing w:after="120" w:line="240" w:lineRule="auto"/>
        <w:rPr>
          <w:rFonts w:cstheme="minorHAnsi"/>
          <w:sz w:val="24"/>
          <w:szCs w:val="24"/>
        </w:rPr>
      </w:pPr>
      <w:r w:rsidRPr="00341AE9">
        <w:rPr>
          <w:rFonts w:cstheme="minorHAnsi"/>
          <w:sz w:val="24"/>
          <w:szCs w:val="24"/>
        </w:rPr>
        <w:t xml:space="preserve">The infographic </w:t>
      </w:r>
      <w:r w:rsidR="003B06FF" w:rsidRPr="00341AE9">
        <w:rPr>
          <w:rFonts w:cstheme="minorHAnsi"/>
          <w:sz w:val="24"/>
          <w:szCs w:val="24"/>
        </w:rPr>
        <w:t>on p</w:t>
      </w:r>
      <w:r w:rsidRPr="00341AE9">
        <w:rPr>
          <w:rFonts w:cstheme="minorHAnsi"/>
          <w:sz w:val="24"/>
          <w:szCs w:val="24"/>
        </w:rPr>
        <w:t>age 1</w:t>
      </w:r>
      <w:r w:rsidR="003B06FF" w:rsidRPr="00341AE9">
        <w:rPr>
          <w:rFonts w:cstheme="minorHAnsi"/>
          <w:sz w:val="24"/>
          <w:szCs w:val="24"/>
        </w:rPr>
        <w:t>6</w:t>
      </w:r>
      <w:r w:rsidRPr="00341AE9">
        <w:rPr>
          <w:rFonts w:cstheme="minorHAnsi"/>
          <w:sz w:val="24"/>
          <w:szCs w:val="24"/>
        </w:rPr>
        <w:t xml:space="preserve"> provides a quick summary of each type of supportive housing, the settings and function of that type of housing, and the benefits and disadvantages of each in comparison to the others. </w:t>
      </w:r>
      <w:r w:rsidR="00EB42E9" w:rsidRPr="00341AE9">
        <w:rPr>
          <w:rFonts w:cstheme="minorHAnsi"/>
          <w:sz w:val="24"/>
          <w:szCs w:val="24"/>
        </w:rPr>
        <w:t>All three forms of supportive housing play a role in the framework of supportive housing policy.</w:t>
      </w:r>
    </w:p>
    <w:p w14:paraId="3C1B92B5" w14:textId="77777777" w:rsidR="003B06FF" w:rsidRPr="00F92330" w:rsidRDefault="003B06FF" w:rsidP="003B06FF">
      <w:pPr>
        <w:spacing w:after="120" w:line="240" w:lineRule="auto"/>
        <w:rPr>
          <w:rFonts w:cstheme="minorHAnsi"/>
          <w:sz w:val="24"/>
          <w:szCs w:val="24"/>
        </w:rPr>
      </w:pPr>
      <w:r w:rsidRPr="00F92330">
        <w:rPr>
          <w:rFonts w:eastAsia="Times New Roman" w:cstheme="minorHAnsi"/>
          <w:color w:val="000000"/>
          <w:sz w:val="24"/>
          <w:szCs w:val="24"/>
        </w:rPr>
        <w:t>PHS has a broadly beneficial impact on housing stability. A survey in New York City of 926 families that used PHS measured the frequency of housing events and healthcare utilization 2 years before and after their eligibility for PHS. 87% of these families experienced increased housing stability in the 2 years after their placement. (</w:t>
      </w:r>
      <w:r w:rsidRPr="00F92330">
        <w:rPr>
          <w:rFonts w:cstheme="minorHAnsi"/>
          <w:color w:val="303030"/>
          <w:sz w:val="24"/>
          <w:szCs w:val="24"/>
          <w:shd w:val="clear" w:color="auto" w:fill="FFFFFF"/>
        </w:rPr>
        <w:t>Lim et al, 2018</w:t>
      </w:r>
      <w:r w:rsidRPr="00F92330">
        <w:rPr>
          <w:rFonts w:cstheme="minorHAnsi"/>
          <w:sz w:val="24"/>
          <w:szCs w:val="24"/>
        </w:rPr>
        <w:t>)</w:t>
      </w:r>
    </w:p>
    <w:p w14:paraId="08D80EE9" w14:textId="070A0911" w:rsidR="003B06FF" w:rsidRDefault="003B06FF" w:rsidP="003B06FF">
      <w:pPr>
        <w:pStyle w:val="ListParagraph"/>
        <w:spacing w:after="120" w:line="240" w:lineRule="auto"/>
        <w:ind w:left="0"/>
        <w:contextualSpacing w:val="0"/>
        <w:rPr>
          <w:rFonts w:cstheme="minorHAnsi"/>
          <w:sz w:val="24"/>
          <w:szCs w:val="24"/>
        </w:rPr>
      </w:pPr>
      <w:r w:rsidRPr="00F92330">
        <w:rPr>
          <w:rFonts w:cstheme="minorHAnsi"/>
          <w:sz w:val="24"/>
          <w:szCs w:val="24"/>
        </w:rPr>
        <w:t xml:space="preserve">PHS is effective at mitigating the impact of homelessness on mental health, shortening the period for which a person is homeless, and encouraging longer term housing stability among occupants. However, PHS is </w:t>
      </w:r>
      <w:proofErr w:type="gramStart"/>
      <w:r w:rsidRPr="00F92330">
        <w:rPr>
          <w:rFonts w:cstheme="minorHAnsi"/>
          <w:sz w:val="24"/>
          <w:szCs w:val="24"/>
        </w:rPr>
        <w:t>expensive</w:t>
      </w:r>
      <w:proofErr w:type="gramEnd"/>
      <w:r w:rsidRPr="00F92330">
        <w:rPr>
          <w:rFonts w:cstheme="minorHAnsi"/>
          <w:sz w:val="24"/>
          <w:szCs w:val="24"/>
        </w:rPr>
        <w:t xml:space="preserve"> and it fails to create legal barriers to the actual process of eviction. Additionally, PHS in almost all cases only provides relief for those who are either nearing the end of the eviction process or have already </w:t>
      </w:r>
      <w:proofErr w:type="gramStart"/>
      <w:r w:rsidRPr="00F92330">
        <w:rPr>
          <w:rFonts w:cstheme="minorHAnsi"/>
          <w:sz w:val="24"/>
          <w:szCs w:val="24"/>
        </w:rPr>
        <w:t>been evicted</w:t>
      </w:r>
      <w:proofErr w:type="gramEnd"/>
      <w:r w:rsidRPr="00F92330">
        <w:rPr>
          <w:rFonts w:cstheme="minorHAnsi"/>
          <w:sz w:val="24"/>
          <w:szCs w:val="24"/>
        </w:rPr>
        <w:t>. PHS is a reactive, not preventive intervention.</w:t>
      </w:r>
    </w:p>
    <w:p w14:paraId="270A8866" w14:textId="77777777" w:rsidR="005C3E37" w:rsidRPr="00F92330" w:rsidRDefault="005C3E37" w:rsidP="003B06FF">
      <w:pPr>
        <w:pStyle w:val="ListParagraph"/>
        <w:spacing w:after="120" w:line="240" w:lineRule="auto"/>
        <w:ind w:left="0"/>
        <w:contextualSpacing w:val="0"/>
        <w:rPr>
          <w:rFonts w:cstheme="minorHAnsi"/>
          <w:sz w:val="24"/>
          <w:szCs w:val="24"/>
        </w:rPr>
      </w:pPr>
    </w:p>
    <w:p w14:paraId="5D6BC9BA" w14:textId="77777777" w:rsidR="003B06FF" w:rsidRPr="00F92330" w:rsidRDefault="003B06FF" w:rsidP="003B06FF">
      <w:pPr>
        <w:spacing w:after="120" w:line="240" w:lineRule="auto"/>
        <w:rPr>
          <w:rStyle w:val="IntenseEmphasis"/>
          <w:rFonts w:cstheme="minorHAnsi"/>
          <w:sz w:val="24"/>
          <w:szCs w:val="24"/>
        </w:rPr>
      </w:pPr>
      <w:r w:rsidRPr="00F92330">
        <w:rPr>
          <w:rStyle w:val="IntenseEmphasis"/>
          <w:rFonts w:cstheme="minorHAnsi"/>
          <w:sz w:val="24"/>
          <w:szCs w:val="24"/>
        </w:rPr>
        <w:t>Mental Health Services: Wraparound support</w:t>
      </w:r>
    </w:p>
    <w:p w14:paraId="0B26DE68" w14:textId="77777777" w:rsidR="003B06FF" w:rsidRPr="00F92330" w:rsidRDefault="003B06FF" w:rsidP="003B06FF">
      <w:pPr>
        <w:spacing w:after="120" w:line="240" w:lineRule="auto"/>
        <w:rPr>
          <w:rFonts w:cstheme="minorHAnsi"/>
          <w:sz w:val="24"/>
          <w:szCs w:val="24"/>
        </w:rPr>
      </w:pPr>
      <w:bookmarkStart w:id="11" w:name="_Hlk70513502"/>
      <w:r w:rsidRPr="00F92330">
        <w:rPr>
          <w:rFonts w:eastAsia="Times New Roman" w:cstheme="minorHAnsi"/>
          <w:color w:val="000000"/>
          <w:sz w:val="24"/>
          <w:szCs w:val="24"/>
        </w:rPr>
        <w:t xml:space="preserve">Wraparound mental health support (WA) is a </w:t>
      </w:r>
      <w:r w:rsidRPr="00F92330">
        <w:rPr>
          <w:rFonts w:cstheme="minorHAnsi"/>
          <w:sz w:val="24"/>
          <w:szCs w:val="24"/>
        </w:rPr>
        <w:t xml:space="preserve">comprehensive team-based approach where practitioners work together to help patients carry out individual care plans that can address mental health issues. </w:t>
      </w:r>
      <w:bookmarkEnd w:id="11"/>
      <w:r w:rsidRPr="00F92330">
        <w:rPr>
          <w:rFonts w:cstheme="minorHAnsi"/>
          <w:sz w:val="24"/>
          <w:szCs w:val="24"/>
        </w:rPr>
        <w:t xml:space="preserve">Although WA is not a housing specific solution, these services </w:t>
      </w:r>
      <w:proofErr w:type="gramStart"/>
      <w:r w:rsidRPr="00F92330">
        <w:rPr>
          <w:rFonts w:cstheme="minorHAnsi"/>
          <w:sz w:val="24"/>
          <w:szCs w:val="24"/>
        </w:rPr>
        <w:t>are often tied</w:t>
      </w:r>
      <w:proofErr w:type="gramEnd"/>
      <w:r w:rsidRPr="00F92330">
        <w:rPr>
          <w:rFonts w:cstheme="minorHAnsi"/>
          <w:sz w:val="24"/>
          <w:szCs w:val="24"/>
        </w:rPr>
        <w:t xml:space="preserve"> to PHS and delivered through a variety of both public and private programs to different sectors of the population. </w:t>
      </w:r>
      <w:r w:rsidRPr="00F92330">
        <w:rPr>
          <w:rFonts w:eastAsia="Times New Roman" w:cstheme="minorHAnsi"/>
          <w:color w:val="000000"/>
          <w:sz w:val="24"/>
          <w:szCs w:val="24"/>
        </w:rPr>
        <w:t>In a systematic review of eviction interventions, WA proved useful for 33 families out of 56 that used this service. Among families that stayed in supportive housing as part of the project, the success rates were higher (Holl et al, 2016).</w:t>
      </w:r>
    </w:p>
    <w:p w14:paraId="0465452D" w14:textId="6D2EFC97" w:rsidR="003B06FF" w:rsidRPr="00F92330" w:rsidRDefault="003B06FF" w:rsidP="003B06FF">
      <w:pPr>
        <w:spacing w:after="120" w:line="240" w:lineRule="auto"/>
        <w:rPr>
          <w:rFonts w:cstheme="minorHAnsi"/>
          <w:sz w:val="24"/>
          <w:szCs w:val="24"/>
        </w:rPr>
      </w:pPr>
      <w:r w:rsidRPr="00F92330">
        <w:rPr>
          <w:rFonts w:cstheme="minorHAnsi"/>
          <w:sz w:val="24"/>
          <w:szCs w:val="24"/>
        </w:rPr>
        <w:t>At-risk youth who had access to WA services were less likely to commit crimes, reject their foster parents, or run away from home (</w:t>
      </w:r>
      <w:proofErr w:type="spellStart"/>
      <w:r w:rsidRPr="00F92330">
        <w:rPr>
          <w:rFonts w:cstheme="minorHAnsi"/>
          <w:sz w:val="24"/>
          <w:szCs w:val="24"/>
        </w:rPr>
        <w:t>Coldiron</w:t>
      </w:r>
      <w:proofErr w:type="spellEnd"/>
      <w:r w:rsidRPr="00F92330">
        <w:rPr>
          <w:rFonts w:cstheme="minorHAnsi"/>
          <w:sz w:val="24"/>
          <w:szCs w:val="24"/>
        </w:rPr>
        <w:t xml:space="preserve"> et al, 2019). In a prisoner re-entry pilot program, 22% of offenders who had access to WA services committed new convictions, compared to 36% of offenders who did not have access. </w:t>
      </w:r>
      <w:proofErr w:type="gramStart"/>
      <w:r w:rsidRPr="00F92330">
        <w:rPr>
          <w:rFonts w:cstheme="minorHAnsi"/>
          <w:sz w:val="24"/>
          <w:szCs w:val="24"/>
        </w:rPr>
        <w:t>Additionally</w:t>
      </w:r>
      <w:proofErr w:type="gramEnd"/>
      <w:r w:rsidRPr="00F92330">
        <w:rPr>
          <w:rFonts w:cstheme="minorHAnsi"/>
          <w:sz w:val="24"/>
          <w:szCs w:val="24"/>
        </w:rPr>
        <w:t xml:space="preserve"> 37% with access were readmitted to prison in comparison to 56% of those without access (Lutze et al, 2013). </w:t>
      </w:r>
      <w:r w:rsidRPr="00F92330">
        <w:rPr>
          <w:rFonts w:eastAsia="Times New Roman" w:cstheme="minorHAnsi"/>
          <w:color w:val="000000"/>
          <w:sz w:val="24"/>
          <w:szCs w:val="24"/>
        </w:rPr>
        <w:t xml:space="preserve">In a review of social housing interventions by social groups, those who received home visits by housing organizations were far less likely to be evicted and experienced </w:t>
      </w:r>
      <w:proofErr w:type="gramStart"/>
      <w:r w:rsidRPr="00F92330">
        <w:rPr>
          <w:rFonts w:eastAsia="Times New Roman" w:cstheme="minorHAnsi"/>
          <w:color w:val="000000"/>
          <w:sz w:val="24"/>
          <w:szCs w:val="24"/>
        </w:rPr>
        <w:t>less</w:t>
      </w:r>
      <w:proofErr w:type="gramEnd"/>
      <w:r w:rsidRPr="00F92330">
        <w:rPr>
          <w:rFonts w:eastAsia="Times New Roman" w:cstheme="minorHAnsi"/>
          <w:color w:val="000000"/>
          <w:sz w:val="24"/>
          <w:szCs w:val="24"/>
        </w:rPr>
        <w:t xml:space="preserve"> medical issues related to mental health over time (</w:t>
      </w:r>
      <w:r w:rsidRPr="00F92330">
        <w:rPr>
          <w:rFonts w:cstheme="minorHAnsi"/>
          <w:sz w:val="24"/>
          <w:szCs w:val="24"/>
        </w:rPr>
        <w:t>HOLDING ET AL, 2019</w:t>
      </w:r>
      <w:r w:rsidRPr="00F92330">
        <w:rPr>
          <w:rFonts w:eastAsia="Times New Roman" w:cstheme="minorHAnsi"/>
          <w:color w:val="000000"/>
          <w:sz w:val="24"/>
          <w:szCs w:val="24"/>
        </w:rPr>
        <w:t>).</w:t>
      </w:r>
    </w:p>
    <w:p w14:paraId="1744BA65" w14:textId="4CF05C28" w:rsidR="0034470D" w:rsidRPr="00F92330" w:rsidRDefault="0034470D" w:rsidP="008420E0">
      <w:pPr>
        <w:spacing w:after="120" w:line="240" w:lineRule="auto"/>
        <w:rPr>
          <w:rFonts w:eastAsia="Times New Roman" w:cstheme="minorHAnsi"/>
          <w:color w:val="000000"/>
          <w:sz w:val="24"/>
          <w:szCs w:val="24"/>
        </w:rPr>
      </w:pPr>
      <w:r w:rsidRPr="00F92330">
        <w:rPr>
          <w:rFonts w:eastAsia="Times New Roman" w:cstheme="minorHAnsi"/>
          <w:noProof/>
          <w:color w:val="000000"/>
          <w:sz w:val="24"/>
          <w:szCs w:val="24"/>
        </w:rPr>
        <w:lastRenderedPageBreak/>
        <w:drawing>
          <wp:inline distT="0" distB="0" distL="0" distR="0" wp14:anchorId="50A630A0" wp14:editId="6BDC1F1A">
            <wp:extent cx="5985795" cy="7904231"/>
            <wp:effectExtent l="0" t="0" r="0" b="1905"/>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4195" cy="7915324"/>
                    </a:xfrm>
                    <a:prstGeom prst="rect">
                      <a:avLst/>
                    </a:prstGeom>
                  </pic:spPr>
                </pic:pic>
              </a:graphicData>
            </a:graphic>
          </wp:inline>
        </w:drawing>
      </w:r>
    </w:p>
    <w:p w14:paraId="681E3221" w14:textId="732F7A07" w:rsidR="00FC4E43" w:rsidRPr="00F92330" w:rsidRDefault="0034470D" w:rsidP="003B06FF">
      <w:pPr>
        <w:spacing w:after="120" w:line="240" w:lineRule="auto"/>
        <w:rPr>
          <w:rFonts w:cstheme="minorHAnsi"/>
          <w:sz w:val="24"/>
          <w:szCs w:val="24"/>
        </w:rPr>
      </w:pPr>
      <w:r w:rsidRPr="00F92330">
        <w:rPr>
          <w:rFonts w:eastAsia="Times New Roman" w:cstheme="minorHAnsi"/>
          <w:color w:val="000000"/>
          <w:sz w:val="24"/>
          <w:szCs w:val="24"/>
        </w:rPr>
        <w:br w:type="page"/>
      </w:r>
    </w:p>
    <w:p w14:paraId="7CAAEA77" w14:textId="3456C8D9" w:rsidR="00FC4E43"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lastRenderedPageBreak/>
        <w:t xml:space="preserve">The advantage of wraparound mental health services and substance abuse treatment is that </w:t>
      </w:r>
      <w:r w:rsidR="00B27E51" w:rsidRPr="00F92330">
        <w:rPr>
          <w:rFonts w:eastAsia="Times New Roman" w:cstheme="minorHAnsi"/>
          <w:color w:val="000000"/>
          <w:sz w:val="24"/>
          <w:szCs w:val="24"/>
        </w:rPr>
        <w:t>they offer</w:t>
      </w:r>
      <w:r w:rsidRPr="00F92330">
        <w:rPr>
          <w:rFonts w:eastAsia="Times New Roman" w:cstheme="minorHAnsi"/>
          <w:color w:val="000000"/>
          <w:sz w:val="24"/>
          <w:szCs w:val="24"/>
        </w:rPr>
        <w:t xml:space="preserve"> comprehensive solution that covers the entire process of housing instability to eviction, and in the best cases will mitigate these issues or prevent them. However, these services do not directly address the process of eviction. Additionally, they do little to stop external actors like banks, landlords, or property management companies from escalating eviction situations and adding undue stress to renter psyches. They can only serve to help address compounding trauma during this escalating situation, which may not be enough to protect tenants from the ultimate material or psychological costs of eviction. </w:t>
      </w:r>
    </w:p>
    <w:p w14:paraId="3072489B" w14:textId="77777777" w:rsidR="00FC4E43" w:rsidRPr="00F92330" w:rsidRDefault="00FC4E43" w:rsidP="008420E0">
      <w:pPr>
        <w:spacing w:after="120" w:line="240" w:lineRule="auto"/>
        <w:rPr>
          <w:rFonts w:eastAsia="Times New Roman" w:cstheme="minorHAnsi"/>
          <w:color w:val="000000"/>
          <w:sz w:val="24"/>
          <w:szCs w:val="24"/>
        </w:rPr>
      </w:pPr>
    </w:p>
    <w:p w14:paraId="2B58346E" w14:textId="636EC419" w:rsidR="00FC4E43" w:rsidRPr="00F92330" w:rsidRDefault="004D3C5F" w:rsidP="008420E0">
      <w:pPr>
        <w:spacing w:after="120" w:line="240" w:lineRule="auto"/>
        <w:rPr>
          <w:rStyle w:val="IntenseEmphasis"/>
          <w:rFonts w:cstheme="minorHAnsi"/>
          <w:sz w:val="24"/>
          <w:szCs w:val="24"/>
        </w:rPr>
      </w:pPr>
      <w:r w:rsidRPr="00F92330">
        <w:rPr>
          <w:rStyle w:val="IntenseEmphasis"/>
          <w:rFonts w:cstheme="minorHAnsi"/>
          <w:sz w:val="24"/>
          <w:szCs w:val="24"/>
        </w:rPr>
        <w:t>Just-cause</w:t>
      </w:r>
      <w:r w:rsidR="00FC4E43" w:rsidRPr="00F92330">
        <w:rPr>
          <w:rStyle w:val="IntenseEmphasis"/>
          <w:rFonts w:cstheme="minorHAnsi"/>
          <w:sz w:val="24"/>
          <w:szCs w:val="24"/>
        </w:rPr>
        <w:t xml:space="preserve"> Eviction Regulations and Right to Counsel</w:t>
      </w:r>
    </w:p>
    <w:p w14:paraId="71E03CCB" w14:textId="11079123" w:rsidR="00FC4E43" w:rsidRPr="00F92330" w:rsidRDefault="004D3C5F" w:rsidP="008420E0">
      <w:pPr>
        <w:spacing w:after="120" w:line="240" w:lineRule="auto"/>
        <w:rPr>
          <w:rFonts w:eastAsia="Times New Roman" w:cstheme="minorHAnsi"/>
          <w:color w:val="000000"/>
          <w:sz w:val="24"/>
          <w:szCs w:val="24"/>
        </w:rPr>
      </w:pPr>
      <w:bookmarkStart w:id="12" w:name="_Hlk70513526"/>
      <w:r w:rsidRPr="00F92330">
        <w:rPr>
          <w:rFonts w:eastAsia="Times New Roman" w:cstheme="minorHAnsi"/>
          <w:color w:val="000000"/>
          <w:sz w:val="24"/>
          <w:szCs w:val="24"/>
        </w:rPr>
        <w:t>Just-cause</w:t>
      </w:r>
      <w:r w:rsidR="00FC4E43" w:rsidRPr="00F92330">
        <w:rPr>
          <w:rFonts w:eastAsia="Times New Roman" w:cstheme="minorHAnsi"/>
          <w:color w:val="000000"/>
          <w:sz w:val="24"/>
          <w:szCs w:val="24"/>
        </w:rPr>
        <w:t xml:space="preserve"> eviction protections describe a three-tiered approach to reduce the </w:t>
      </w:r>
      <w:proofErr w:type="gramStart"/>
      <w:r w:rsidR="00FC4E43" w:rsidRPr="00F92330">
        <w:rPr>
          <w:rFonts w:eastAsia="Times New Roman" w:cstheme="minorHAnsi"/>
          <w:color w:val="000000"/>
          <w:sz w:val="24"/>
          <w:szCs w:val="24"/>
        </w:rPr>
        <w:t>amount</w:t>
      </w:r>
      <w:proofErr w:type="gramEnd"/>
      <w:r w:rsidR="00FC4E43" w:rsidRPr="00F92330">
        <w:rPr>
          <w:rFonts w:eastAsia="Times New Roman" w:cstheme="minorHAnsi"/>
          <w:color w:val="000000"/>
          <w:sz w:val="24"/>
          <w:szCs w:val="24"/>
        </w:rPr>
        <w:t xml:space="preserve"> of evictions that landlords file, and make the eviction process more fair and accessible for tenants. </w:t>
      </w:r>
      <w:bookmarkEnd w:id="12"/>
      <w:r w:rsidR="00FC4E43" w:rsidRPr="00F92330">
        <w:rPr>
          <w:rFonts w:eastAsia="Times New Roman" w:cstheme="minorHAnsi"/>
          <w:color w:val="000000"/>
          <w:sz w:val="24"/>
          <w:szCs w:val="24"/>
        </w:rPr>
        <w:t>In their report on evictions in 201</w:t>
      </w:r>
      <w:r w:rsidR="00FF79DE" w:rsidRPr="00F92330">
        <w:rPr>
          <w:rFonts w:eastAsia="Times New Roman" w:cstheme="minorHAnsi"/>
          <w:color w:val="000000"/>
          <w:sz w:val="24"/>
          <w:szCs w:val="24"/>
        </w:rPr>
        <w:t>8</w:t>
      </w:r>
      <w:r w:rsidR="00FC4E43" w:rsidRPr="00F92330">
        <w:rPr>
          <w:rFonts w:eastAsia="Times New Roman" w:cstheme="minorHAnsi"/>
          <w:color w:val="000000"/>
          <w:sz w:val="24"/>
          <w:szCs w:val="24"/>
        </w:rPr>
        <w:t xml:space="preserve">, </w:t>
      </w:r>
      <w:r w:rsidR="00FC4E43" w:rsidRPr="00F92330">
        <w:rPr>
          <w:rFonts w:eastAsia="Times New Roman" w:cstheme="minorHAnsi"/>
          <w:i/>
          <w:iCs/>
          <w:color w:val="000000"/>
          <w:sz w:val="24"/>
          <w:szCs w:val="24"/>
        </w:rPr>
        <w:t>Evictions are Fast and Frequent</w:t>
      </w:r>
      <w:r w:rsidR="00FC4E43" w:rsidRPr="00F92330">
        <w:rPr>
          <w:rFonts w:eastAsia="Times New Roman" w:cstheme="minorHAnsi"/>
          <w:color w:val="000000"/>
          <w:sz w:val="24"/>
          <w:szCs w:val="24"/>
        </w:rPr>
        <w:t xml:space="preserve">, Tenants Together describes this </w:t>
      </w:r>
      <w:r w:rsidR="001B3020" w:rsidRPr="00F92330">
        <w:rPr>
          <w:rFonts w:eastAsia="Times New Roman" w:cstheme="minorHAnsi"/>
          <w:color w:val="000000"/>
          <w:sz w:val="24"/>
          <w:szCs w:val="24"/>
        </w:rPr>
        <w:t>three-tiered</w:t>
      </w:r>
      <w:r w:rsidR="00FC4E43" w:rsidRPr="00F92330">
        <w:rPr>
          <w:rFonts w:eastAsia="Times New Roman" w:cstheme="minorHAnsi"/>
          <w:color w:val="000000"/>
          <w:sz w:val="24"/>
          <w:szCs w:val="24"/>
        </w:rPr>
        <w:t xml:space="preserve"> approach.</w:t>
      </w:r>
    </w:p>
    <w:p w14:paraId="2581D39C" w14:textId="77777777" w:rsidR="00FC4E43" w:rsidRPr="00F92330" w:rsidRDefault="00FC4E43" w:rsidP="008420E0">
      <w:pPr>
        <w:pStyle w:val="ListParagraph"/>
        <w:numPr>
          <w:ilvl w:val="0"/>
          <w:numId w:val="7"/>
        </w:numPr>
        <w:spacing w:after="120" w:line="240" w:lineRule="auto"/>
        <w:contextualSpacing w:val="0"/>
        <w:rPr>
          <w:rFonts w:cstheme="minorHAnsi"/>
          <w:b/>
          <w:bCs/>
          <w:sz w:val="24"/>
          <w:szCs w:val="24"/>
        </w:rPr>
      </w:pPr>
      <w:r w:rsidRPr="00F92330">
        <w:rPr>
          <w:rFonts w:cstheme="minorHAnsi"/>
          <w:sz w:val="24"/>
          <w:szCs w:val="24"/>
        </w:rPr>
        <w:t>Require that landlords state a cause for eviction on their eviction notices.</w:t>
      </w:r>
    </w:p>
    <w:p w14:paraId="009FCC76" w14:textId="28A1FDEF" w:rsidR="00FC4E43" w:rsidRPr="00F92330" w:rsidRDefault="00FC4E43" w:rsidP="008420E0">
      <w:pPr>
        <w:pStyle w:val="ListParagraph"/>
        <w:numPr>
          <w:ilvl w:val="1"/>
          <w:numId w:val="7"/>
        </w:numPr>
        <w:spacing w:after="120" w:line="240" w:lineRule="auto"/>
        <w:contextualSpacing w:val="0"/>
        <w:rPr>
          <w:rFonts w:cstheme="minorHAnsi"/>
          <w:b/>
          <w:bCs/>
          <w:sz w:val="24"/>
          <w:szCs w:val="24"/>
        </w:rPr>
      </w:pPr>
      <w:r w:rsidRPr="00F92330">
        <w:rPr>
          <w:rFonts w:cstheme="minorHAnsi"/>
          <w:sz w:val="24"/>
          <w:szCs w:val="24"/>
        </w:rPr>
        <w:t xml:space="preserve">The state should require that landlords state the cause of eviction. Whatever the stated cause of eviction, the state should protect tenants from arbitrary, </w:t>
      </w:r>
      <w:proofErr w:type="gramStart"/>
      <w:r w:rsidRPr="00F92330">
        <w:rPr>
          <w:rFonts w:cstheme="minorHAnsi"/>
          <w:sz w:val="24"/>
          <w:szCs w:val="24"/>
        </w:rPr>
        <w:t>discriminatory</w:t>
      </w:r>
      <w:proofErr w:type="gramEnd"/>
      <w:r w:rsidRPr="00F92330">
        <w:rPr>
          <w:rFonts w:cstheme="minorHAnsi"/>
          <w:sz w:val="24"/>
          <w:szCs w:val="24"/>
        </w:rPr>
        <w:t xml:space="preserve"> or retaliatory evictions</w:t>
      </w:r>
      <w:r w:rsidR="00D6081D">
        <w:rPr>
          <w:rFonts w:cstheme="minorHAnsi"/>
          <w:sz w:val="24"/>
          <w:szCs w:val="24"/>
        </w:rPr>
        <w:t xml:space="preserve"> </w:t>
      </w:r>
      <w:r w:rsidR="00D6081D" w:rsidRPr="00D6081D">
        <w:rPr>
          <w:rFonts w:cstheme="minorHAnsi"/>
          <w:sz w:val="24"/>
          <w:szCs w:val="24"/>
        </w:rPr>
        <w:t>(</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00D6081D" w:rsidRPr="00D6081D">
        <w:rPr>
          <w:rFonts w:cstheme="minorHAnsi"/>
          <w:sz w:val="24"/>
          <w:szCs w:val="24"/>
        </w:rPr>
        <w:t>)</w:t>
      </w:r>
      <w:r w:rsidRPr="00F92330">
        <w:rPr>
          <w:rFonts w:cstheme="minorHAnsi"/>
          <w:sz w:val="24"/>
          <w:szCs w:val="24"/>
        </w:rPr>
        <w:t>.</w:t>
      </w:r>
    </w:p>
    <w:p w14:paraId="0D73749B" w14:textId="77777777" w:rsidR="00FC4E43" w:rsidRPr="00F92330" w:rsidRDefault="00FC4E43" w:rsidP="008420E0">
      <w:pPr>
        <w:pStyle w:val="ListParagraph"/>
        <w:numPr>
          <w:ilvl w:val="0"/>
          <w:numId w:val="7"/>
        </w:numPr>
        <w:spacing w:after="120" w:line="240" w:lineRule="auto"/>
        <w:contextualSpacing w:val="0"/>
        <w:rPr>
          <w:rFonts w:cstheme="minorHAnsi"/>
          <w:b/>
          <w:bCs/>
          <w:sz w:val="24"/>
          <w:szCs w:val="24"/>
        </w:rPr>
      </w:pPr>
      <w:r w:rsidRPr="00F92330">
        <w:rPr>
          <w:rFonts w:cstheme="minorHAnsi"/>
          <w:sz w:val="24"/>
          <w:szCs w:val="24"/>
        </w:rPr>
        <w:t>Revise eviction timelines.</w:t>
      </w:r>
    </w:p>
    <w:p w14:paraId="214D1875" w14:textId="72E9C1E4" w:rsidR="00FC4E43" w:rsidRPr="00F92330" w:rsidRDefault="004B3DA6" w:rsidP="008420E0">
      <w:pPr>
        <w:pStyle w:val="ListParagraph"/>
        <w:numPr>
          <w:ilvl w:val="1"/>
          <w:numId w:val="7"/>
        </w:numPr>
        <w:spacing w:after="120" w:line="240" w:lineRule="auto"/>
        <w:contextualSpacing w:val="0"/>
        <w:rPr>
          <w:rFonts w:cstheme="minorHAnsi"/>
          <w:b/>
          <w:bCs/>
          <w:sz w:val="24"/>
          <w:szCs w:val="24"/>
        </w:rPr>
      </w:pPr>
      <w:r w:rsidRPr="00F92330">
        <w:rPr>
          <w:rFonts w:cstheme="minorHAnsi"/>
          <w:sz w:val="24"/>
          <w:szCs w:val="24"/>
        </w:rPr>
        <w:t xml:space="preserve">A three-day notice is difficult for tenants to comply with in resolving initial issues with a landlord, and once that notice has expired, the tenant can </w:t>
      </w:r>
      <w:proofErr w:type="gramStart"/>
      <w:r w:rsidRPr="00F92330">
        <w:rPr>
          <w:rFonts w:cstheme="minorHAnsi"/>
          <w:sz w:val="24"/>
          <w:szCs w:val="24"/>
        </w:rPr>
        <w:t>be evicted</w:t>
      </w:r>
      <w:proofErr w:type="gramEnd"/>
      <w:r w:rsidRPr="00F92330">
        <w:rPr>
          <w:rFonts w:cstheme="minorHAnsi"/>
          <w:sz w:val="24"/>
          <w:szCs w:val="24"/>
        </w:rPr>
        <w:t xml:space="preserve"> on day four. Five days does not provide tenants enough time to respond to unlawful detainer lawsuits, before they lose by default. Landlords frequently post eviction notices for tenants on Friday, giving the tenant only three business days to challenge the eviction notice. For many tenants, courts are far away from their homes, and they </w:t>
      </w:r>
      <w:proofErr w:type="gramStart"/>
      <w:r w:rsidRPr="00F92330">
        <w:rPr>
          <w:rFonts w:cstheme="minorHAnsi"/>
          <w:sz w:val="24"/>
          <w:szCs w:val="24"/>
        </w:rPr>
        <w:t>are constricted</w:t>
      </w:r>
      <w:proofErr w:type="gramEnd"/>
      <w:r w:rsidRPr="00F92330">
        <w:rPr>
          <w:rFonts w:cstheme="minorHAnsi"/>
          <w:sz w:val="24"/>
          <w:szCs w:val="24"/>
        </w:rPr>
        <w:t xml:space="preserve"> by public transport. Returning the challenge by mail is unreliable for such a short </w:t>
      </w:r>
      <w:proofErr w:type="gramStart"/>
      <w:r w:rsidRPr="00F92330">
        <w:rPr>
          <w:rFonts w:cstheme="minorHAnsi"/>
          <w:sz w:val="24"/>
          <w:szCs w:val="24"/>
        </w:rPr>
        <w:t>time period</w:t>
      </w:r>
      <w:proofErr w:type="gramEnd"/>
      <w:r w:rsidR="00D6081D">
        <w:rPr>
          <w:rFonts w:cstheme="minorHAnsi"/>
          <w:sz w:val="24"/>
          <w:szCs w:val="24"/>
        </w:rPr>
        <w:t xml:space="preserve"> </w:t>
      </w:r>
      <w:r w:rsidR="00D6081D" w:rsidRPr="00D6081D">
        <w:rPr>
          <w:rFonts w:cstheme="minorHAnsi"/>
          <w:sz w:val="24"/>
          <w:szCs w:val="24"/>
        </w:rPr>
        <w:t>(</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00D6081D" w:rsidRPr="00D6081D">
        <w:rPr>
          <w:rFonts w:cstheme="minorHAnsi"/>
          <w:sz w:val="24"/>
          <w:szCs w:val="24"/>
        </w:rPr>
        <w:t>)</w:t>
      </w:r>
      <w:r w:rsidRPr="00F92330">
        <w:rPr>
          <w:rFonts w:cstheme="minorHAnsi"/>
          <w:sz w:val="24"/>
          <w:szCs w:val="24"/>
        </w:rPr>
        <w:t>.</w:t>
      </w:r>
    </w:p>
    <w:p w14:paraId="25AFFDAF" w14:textId="77777777" w:rsidR="00FC4E43" w:rsidRPr="00F92330" w:rsidRDefault="00FC4E43" w:rsidP="008420E0">
      <w:pPr>
        <w:pStyle w:val="ListParagraph"/>
        <w:numPr>
          <w:ilvl w:val="0"/>
          <w:numId w:val="7"/>
        </w:numPr>
        <w:spacing w:after="120" w:line="240" w:lineRule="auto"/>
        <w:contextualSpacing w:val="0"/>
        <w:rPr>
          <w:rFonts w:cstheme="minorHAnsi"/>
          <w:b/>
          <w:bCs/>
          <w:sz w:val="24"/>
          <w:szCs w:val="24"/>
        </w:rPr>
      </w:pPr>
      <w:r w:rsidRPr="00F92330">
        <w:rPr>
          <w:rFonts w:cstheme="minorHAnsi"/>
          <w:sz w:val="24"/>
          <w:szCs w:val="24"/>
        </w:rPr>
        <w:t>Give tenants a right to counsel.</w:t>
      </w:r>
    </w:p>
    <w:p w14:paraId="6BA3F51B" w14:textId="4436F3A8" w:rsidR="00FC4E43" w:rsidRPr="00F92330" w:rsidRDefault="00FC4E43" w:rsidP="008420E0">
      <w:pPr>
        <w:pStyle w:val="ListParagraph"/>
        <w:numPr>
          <w:ilvl w:val="1"/>
          <w:numId w:val="7"/>
        </w:numPr>
        <w:spacing w:after="120" w:line="240" w:lineRule="auto"/>
        <w:contextualSpacing w:val="0"/>
        <w:rPr>
          <w:rFonts w:cstheme="minorHAnsi"/>
          <w:b/>
          <w:bCs/>
          <w:sz w:val="24"/>
          <w:szCs w:val="24"/>
        </w:rPr>
      </w:pPr>
      <w:r w:rsidRPr="00F92330">
        <w:rPr>
          <w:rFonts w:cstheme="minorHAnsi"/>
          <w:sz w:val="24"/>
          <w:szCs w:val="24"/>
        </w:rPr>
        <w:t xml:space="preserve">Tenants often do not try to defend themselves from eviction even if the eviction is illegal because of so few resources available to defend them in court against an eviction. The Shriver </w:t>
      </w:r>
      <w:r w:rsidR="003A68BF" w:rsidRPr="00F92330">
        <w:rPr>
          <w:rFonts w:cstheme="minorHAnsi"/>
          <w:sz w:val="24"/>
          <w:szCs w:val="24"/>
        </w:rPr>
        <w:t>P</w:t>
      </w:r>
      <w:r w:rsidRPr="00F92330">
        <w:rPr>
          <w:rFonts w:cstheme="minorHAnsi"/>
          <w:sz w:val="24"/>
          <w:szCs w:val="24"/>
        </w:rPr>
        <w:t>roject, a 5-year pilot program in 2011 reduced evictions for Shriver defended clients to 6%, in comparison to 44% among the general population (</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00D6081D">
        <w:rPr>
          <w:rFonts w:cstheme="minorHAnsi"/>
          <w:sz w:val="24"/>
          <w:szCs w:val="24"/>
        </w:rPr>
        <w:t xml:space="preserve">; </w:t>
      </w:r>
      <w:r w:rsidR="00213711" w:rsidRPr="00F92330">
        <w:rPr>
          <w:rFonts w:cstheme="minorHAnsi"/>
          <w:sz w:val="24"/>
          <w:szCs w:val="24"/>
        </w:rPr>
        <w:t>Tsai et al, 2020</w:t>
      </w:r>
      <w:r w:rsidRPr="00F92330">
        <w:rPr>
          <w:rFonts w:cstheme="minorHAnsi"/>
          <w:sz w:val="24"/>
          <w:szCs w:val="24"/>
        </w:rPr>
        <w:t>)</w:t>
      </w:r>
    </w:p>
    <w:p w14:paraId="5034A9DF" w14:textId="4D04844C" w:rsidR="00FC4E43" w:rsidRPr="00F92330" w:rsidRDefault="00FC4E43" w:rsidP="008420E0">
      <w:pPr>
        <w:spacing w:after="120" w:line="240" w:lineRule="auto"/>
        <w:rPr>
          <w:rFonts w:cstheme="minorHAnsi"/>
          <w:sz w:val="24"/>
          <w:szCs w:val="24"/>
        </w:rPr>
      </w:pPr>
      <w:r w:rsidRPr="00F92330">
        <w:rPr>
          <w:rFonts w:cstheme="minorHAnsi"/>
          <w:sz w:val="24"/>
          <w:szCs w:val="24"/>
        </w:rPr>
        <w:t xml:space="preserve">California </w:t>
      </w:r>
      <w:r w:rsidR="00FB7A05" w:rsidRPr="00F92330">
        <w:rPr>
          <w:rFonts w:cstheme="minorHAnsi"/>
          <w:sz w:val="24"/>
          <w:szCs w:val="24"/>
        </w:rPr>
        <w:t>has already made some progress in</w:t>
      </w:r>
      <w:r w:rsidRPr="00F92330">
        <w:rPr>
          <w:rFonts w:cstheme="minorHAnsi"/>
          <w:sz w:val="24"/>
          <w:szCs w:val="24"/>
        </w:rPr>
        <w:t xml:space="preserve"> just</w:t>
      </w:r>
      <w:r w:rsidR="004D3C5F" w:rsidRPr="00F92330">
        <w:rPr>
          <w:rFonts w:cstheme="minorHAnsi"/>
          <w:sz w:val="24"/>
          <w:szCs w:val="24"/>
        </w:rPr>
        <w:t>-</w:t>
      </w:r>
      <w:r w:rsidRPr="00F92330">
        <w:rPr>
          <w:rFonts w:cstheme="minorHAnsi"/>
          <w:sz w:val="24"/>
          <w:szCs w:val="24"/>
        </w:rPr>
        <w:t>cause eviction protections. The Tenant Protection Act of 2019 established some basic just</w:t>
      </w:r>
      <w:r w:rsidR="004D3C5F" w:rsidRPr="00F92330">
        <w:rPr>
          <w:rFonts w:cstheme="minorHAnsi"/>
          <w:sz w:val="24"/>
          <w:szCs w:val="24"/>
        </w:rPr>
        <w:t>-</w:t>
      </w:r>
      <w:r w:rsidRPr="00F92330">
        <w:rPr>
          <w:rFonts w:cstheme="minorHAnsi"/>
          <w:sz w:val="24"/>
          <w:szCs w:val="24"/>
        </w:rPr>
        <w:t>cause protections for tenants that satisfy the criteria of some of the recommendations of Tenants Together. Civil Code Section 1946.2 implements "</w:t>
      </w:r>
      <w:r w:rsidR="004D3C5F" w:rsidRPr="00F92330">
        <w:rPr>
          <w:rFonts w:cstheme="minorHAnsi"/>
          <w:sz w:val="24"/>
          <w:szCs w:val="24"/>
        </w:rPr>
        <w:t>just-cause</w:t>
      </w:r>
      <w:r w:rsidRPr="00F92330">
        <w:rPr>
          <w:rFonts w:cstheme="minorHAnsi"/>
          <w:sz w:val="24"/>
          <w:szCs w:val="24"/>
        </w:rPr>
        <w:t xml:space="preserve">" limitations. They prohibit termination without </w:t>
      </w:r>
      <w:r w:rsidR="004D3C5F" w:rsidRPr="00F92330">
        <w:rPr>
          <w:rFonts w:cstheme="minorHAnsi"/>
          <w:sz w:val="24"/>
          <w:szCs w:val="24"/>
        </w:rPr>
        <w:t>just-cause</w:t>
      </w:r>
      <w:r w:rsidRPr="00F92330">
        <w:rPr>
          <w:rFonts w:cstheme="minorHAnsi"/>
          <w:sz w:val="24"/>
          <w:szCs w:val="24"/>
        </w:rPr>
        <w:t xml:space="preserve"> of a tenant who has lived in the unit for at least 12 months. These </w:t>
      </w:r>
      <w:r w:rsidR="004D3C5F" w:rsidRPr="00F92330">
        <w:rPr>
          <w:rFonts w:cstheme="minorHAnsi"/>
          <w:sz w:val="24"/>
          <w:szCs w:val="24"/>
        </w:rPr>
        <w:t>cause</w:t>
      </w:r>
      <w:r w:rsidRPr="00F92330">
        <w:rPr>
          <w:rFonts w:cstheme="minorHAnsi"/>
          <w:sz w:val="24"/>
          <w:szCs w:val="24"/>
        </w:rPr>
        <w:t xml:space="preserve">s include both tenant at-fault behavior (such as repeated late rent) and no-fault reasons (like owner move-ins). However, the </w:t>
      </w:r>
      <w:r w:rsidR="004B3DA6" w:rsidRPr="00F92330">
        <w:rPr>
          <w:rFonts w:cstheme="minorHAnsi"/>
          <w:sz w:val="24"/>
          <w:szCs w:val="24"/>
        </w:rPr>
        <w:lastRenderedPageBreak/>
        <w:t xml:space="preserve">law </w:t>
      </w:r>
      <w:r w:rsidR="00F41E46" w:rsidRPr="00F92330">
        <w:rPr>
          <w:rFonts w:cstheme="minorHAnsi"/>
          <w:sz w:val="24"/>
          <w:szCs w:val="24"/>
        </w:rPr>
        <w:t>does not extend</w:t>
      </w:r>
      <w:r w:rsidRPr="00F92330">
        <w:rPr>
          <w:rFonts w:cstheme="minorHAnsi"/>
          <w:sz w:val="24"/>
          <w:szCs w:val="24"/>
        </w:rPr>
        <w:t xml:space="preserve"> time periods </w:t>
      </w:r>
      <w:r w:rsidR="00F41E46" w:rsidRPr="00F92330">
        <w:rPr>
          <w:rFonts w:cstheme="minorHAnsi"/>
          <w:sz w:val="24"/>
          <w:szCs w:val="24"/>
        </w:rPr>
        <w:t xml:space="preserve">to respond to </w:t>
      </w:r>
      <w:r w:rsidRPr="00F92330">
        <w:rPr>
          <w:rFonts w:cstheme="minorHAnsi"/>
          <w:sz w:val="24"/>
          <w:szCs w:val="24"/>
        </w:rPr>
        <w:t xml:space="preserve">notices, afford </w:t>
      </w:r>
      <w:r w:rsidR="005017CA" w:rsidRPr="00F92330">
        <w:rPr>
          <w:rFonts w:cstheme="minorHAnsi"/>
          <w:sz w:val="24"/>
          <w:szCs w:val="24"/>
        </w:rPr>
        <w:t xml:space="preserve">tenants a </w:t>
      </w:r>
      <w:r w:rsidRPr="00F92330">
        <w:rPr>
          <w:rFonts w:cstheme="minorHAnsi"/>
          <w:sz w:val="24"/>
          <w:szCs w:val="24"/>
        </w:rPr>
        <w:t>right to counsel, or require the landlord to file an eviction notice with the state government. (</w:t>
      </w:r>
      <w:r w:rsidR="008F76D5" w:rsidRPr="00F92330">
        <w:rPr>
          <w:rFonts w:cstheme="minorHAnsi"/>
          <w:sz w:val="24"/>
          <w:szCs w:val="24"/>
        </w:rPr>
        <w:t>AB 1482, 2019</w:t>
      </w:r>
      <w:r w:rsidRPr="00F92330">
        <w:rPr>
          <w:rFonts w:cstheme="minorHAnsi"/>
          <w:sz w:val="24"/>
          <w:szCs w:val="24"/>
        </w:rPr>
        <w:t>)</w:t>
      </w:r>
    </w:p>
    <w:p w14:paraId="511DBF65" w14:textId="756C5BF2" w:rsidR="007B7D7B"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Expanding </w:t>
      </w:r>
      <w:r w:rsidR="004D3C5F" w:rsidRPr="00F92330">
        <w:rPr>
          <w:rFonts w:eastAsia="Times New Roman" w:cstheme="minorHAnsi"/>
          <w:color w:val="000000"/>
          <w:sz w:val="24"/>
          <w:szCs w:val="24"/>
        </w:rPr>
        <w:t>just-cause</w:t>
      </w:r>
      <w:r w:rsidRPr="00F92330">
        <w:rPr>
          <w:rFonts w:eastAsia="Times New Roman" w:cstheme="minorHAnsi"/>
          <w:color w:val="000000"/>
          <w:sz w:val="24"/>
          <w:szCs w:val="24"/>
        </w:rPr>
        <w:t xml:space="preserve"> eviction protections directly impacts the eviction process by reducing the ways in which landlords can initiate the eviction process. From a mental health perspective, this </w:t>
      </w:r>
      <w:r w:rsidR="007B7D7B" w:rsidRPr="00F92330">
        <w:rPr>
          <w:rFonts w:eastAsia="Times New Roman" w:cstheme="minorHAnsi"/>
          <w:color w:val="000000"/>
          <w:sz w:val="24"/>
          <w:szCs w:val="24"/>
        </w:rPr>
        <w:t xml:space="preserve">alternative is the most directly targeted policy option for reducing the instance of traumatic events related to the eviction process, ensuring that as a policy option it will also </w:t>
      </w:r>
      <w:proofErr w:type="gramStart"/>
      <w:r w:rsidR="007B7D7B" w:rsidRPr="00F92330">
        <w:rPr>
          <w:rFonts w:eastAsia="Times New Roman" w:cstheme="minorHAnsi"/>
          <w:color w:val="000000"/>
          <w:sz w:val="24"/>
          <w:szCs w:val="24"/>
        </w:rPr>
        <w:t>have an effect on</w:t>
      </w:r>
      <w:proofErr w:type="gramEnd"/>
      <w:r w:rsidR="007B7D7B" w:rsidRPr="00F92330">
        <w:rPr>
          <w:rFonts w:eastAsia="Times New Roman" w:cstheme="minorHAnsi"/>
          <w:color w:val="000000"/>
          <w:sz w:val="24"/>
          <w:szCs w:val="24"/>
        </w:rPr>
        <w:t xml:space="preserve"> suicide rates related to eviction process events. However, just-cause eviction protections act as targeted policy that only intervenes in one point in the eviction process. Just-</w:t>
      </w:r>
      <w:proofErr w:type="gramStart"/>
      <w:r w:rsidR="007B7D7B" w:rsidRPr="00F92330">
        <w:rPr>
          <w:rFonts w:eastAsia="Times New Roman" w:cstheme="minorHAnsi"/>
          <w:color w:val="000000"/>
          <w:sz w:val="24"/>
          <w:szCs w:val="24"/>
        </w:rPr>
        <w:t>cause</w:t>
      </w:r>
      <w:proofErr w:type="gramEnd"/>
      <w:r w:rsidR="007B7D7B" w:rsidRPr="00F92330">
        <w:rPr>
          <w:rFonts w:eastAsia="Times New Roman" w:cstheme="minorHAnsi"/>
          <w:color w:val="000000"/>
          <w:sz w:val="24"/>
          <w:szCs w:val="24"/>
        </w:rPr>
        <w:t xml:space="preserve"> protections do not provide services that intervene in mental health issues which lead to eviction. For those engaged in the eviction process just-</w:t>
      </w:r>
      <w:proofErr w:type="gramStart"/>
      <w:r w:rsidR="007B7D7B" w:rsidRPr="00F92330">
        <w:rPr>
          <w:rFonts w:eastAsia="Times New Roman" w:cstheme="minorHAnsi"/>
          <w:color w:val="000000"/>
          <w:sz w:val="24"/>
          <w:szCs w:val="24"/>
        </w:rPr>
        <w:t>cause</w:t>
      </w:r>
      <w:proofErr w:type="gramEnd"/>
      <w:r w:rsidR="007B7D7B" w:rsidRPr="00F92330">
        <w:rPr>
          <w:rFonts w:eastAsia="Times New Roman" w:cstheme="minorHAnsi"/>
          <w:color w:val="000000"/>
          <w:sz w:val="24"/>
          <w:szCs w:val="24"/>
        </w:rPr>
        <w:t xml:space="preserve"> protections do little to mitigate the impact of ongoing trauma, and do nothing to provide post-eviction services.</w:t>
      </w:r>
    </w:p>
    <w:p w14:paraId="2CB180BD" w14:textId="77777777" w:rsidR="00895EB1" w:rsidRPr="00F92330" w:rsidRDefault="00895EB1" w:rsidP="008420E0">
      <w:pPr>
        <w:spacing w:after="120" w:line="240" w:lineRule="auto"/>
        <w:rPr>
          <w:rFonts w:eastAsia="Times New Roman" w:cstheme="minorHAnsi"/>
          <w:i/>
          <w:iCs/>
          <w:color w:val="000000"/>
          <w:sz w:val="24"/>
          <w:szCs w:val="24"/>
        </w:rPr>
      </w:pPr>
    </w:p>
    <w:p w14:paraId="053D8E09" w14:textId="77777777" w:rsidR="00FC4E43" w:rsidRPr="00F92330" w:rsidRDefault="00FC4E43" w:rsidP="008420E0">
      <w:pPr>
        <w:spacing w:after="120" w:line="240" w:lineRule="auto"/>
        <w:rPr>
          <w:rStyle w:val="IntenseEmphasis"/>
          <w:rFonts w:cstheme="minorHAnsi"/>
          <w:sz w:val="24"/>
          <w:szCs w:val="24"/>
        </w:rPr>
      </w:pPr>
      <w:r w:rsidRPr="00F92330">
        <w:rPr>
          <w:rStyle w:val="IntenseEmphasis"/>
          <w:rFonts w:cstheme="minorHAnsi"/>
          <w:sz w:val="24"/>
          <w:szCs w:val="24"/>
        </w:rPr>
        <w:t>Right to Counsel</w:t>
      </w:r>
    </w:p>
    <w:p w14:paraId="5B8847EF" w14:textId="72CC66A7" w:rsidR="003A68BF"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Legal assistance before or during the eviction process can give tenants a way to halt the eviction process before it </w:t>
      </w:r>
      <w:proofErr w:type="gramStart"/>
      <w:r w:rsidRPr="00F92330">
        <w:rPr>
          <w:rFonts w:eastAsia="Times New Roman" w:cstheme="minorHAnsi"/>
          <w:color w:val="000000"/>
          <w:sz w:val="24"/>
          <w:szCs w:val="24"/>
        </w:rPr>
        <w:t>begins</w:t>
      </w:r>
      <w:r w:rsidR="003A68BF" w:rsidRPr="00F92330">
        <w:rPr>
          <w:rFonts w:eastAsia="Times New Roman" w:cstheme="minorHAnsi"/>
          <w:color w:val="000000"/>
          <w:sz w:val="24"/>
          <w:szCs w:val="24"/>
        </w:rPr>
        <w:t>,</w:t>
      </w:r>
      <w:r w:rsidRPr="00F92330">
        <w:rPr>
          <w:rFonts w:eastAsia="Times New Roman" w:cstheme="minorHAnsi"/>
          <w:color w:val="000000"/>
          <w:sz w:val="24"/>
          <w:szCs w:val="24"/>
        </w:rPr>
        <w:t xml:space="preserve"> or</w:t>
      </w:r>
      <w:proofErr w:type="gramEnd"/>
      <w:r w:rsidRPr="00F92330">
        <w:rPr>
          <w:rFonts w:eastAsia="Times New Roman" w:cstheme="minorHAnsi"/>
          <w:color w:val="000000"/>
          <w:sz w:val="24"/>
          <w:szCs w:val="24"/>
        </w:rPr>
        <w:t xml:space="preserve"> confront the eviction process and terminate it to protect their housing status. This strategy can be effective, and the costs </w:t>
      </w:r>
      <w:r w:rsidR="003A68BF" w:rsidRPr="00F92330">
        <w:rPr>
          <w:rFonts w:eastAsia="Times New Roman" w:cstheme="minorHAnsi"/>
          <w:color w:val="000000"/>
          <w:sz w:val="24"/>
          <w:szCs w:val="24"/>
        </w:rPr>
        <w:t xml:space="preserve">may </w:t>
      </w:r>
      <w:proofErr w:type="gramStart"/>
      <w:r w:rsidR="003A68BF" w:rsidRPr="00F92330">
        <w:rPr>
          <w:rFonts w:eastAsia="Times New Roman" w:cstheme="minorHAnsi"/>
          <w:color w:val="000000"/>
          <w:sz w:val="24"/>
          <w:szCs w:val="24"/>
        </w:rPr>
        <w:t xml:space="preserve">be </w:t>
      </w:r>
      <w:r w:rsidRPr="00F92330">
        <w:rPr>
          <w:rFonts w:eastAsia="Times New Roman" w:cstheme="minorHAnsi"/>
          <w:color w:val="000000"/>
          <w:sz w:val="24"/>
          <w:szCs w:val="24"/>
        </w:rPr>
        <w:t>privatized</w:t>
      </w:r>
      <w:proofErr w:type="gramEnd"/>
      <w:r w:rsidR="003A68BF" w:rsidRPr="00F92330">
        <w:rPr>
          <w:rFonts w:eastAsia="Times New Roman" w:cstheme="minorHAnsi"/>
          <w:color w:val="000000"/>
          <w:sz w:val="24"/>
          <w:szCs w:val="24"/>
        </w:rPr>
        <w:t xml:space="preserve"> depending on the policy option</w:t>
      </w:r>
      <w:r w:rsidRPr="00F92330">
        <w:rPr>
          <w:rFonts w:eastAsia="Times New Roman" w:cstheme="minorHAnsi"/>
          <w:color w:val="000000"/>
          <w:sz w:val="24"/>
          <w:szCs w:val="24"/>
        </w:rPr>
        <w:t>.</w:t>
      </w:r>
      <w:r w:rsidR="003A68BF" w:rsidRPr="00F92330">
        <w:rPr>
          <w:rFonts w:eastAsia="Times New Roman" w:cstheme="minorHAnsi"/>
          <w:color w:val="000000"/>
          <w:sz w:val="24"/>
          <w:szCs w:val="24"/>
        </w:rPr>
        <w:t xml:space="preserve"> There are law firms specifically devoted to community practice for un-paying clients, such as Legal Services of Northern California, where the service </w:t>
      </w:r>
      <w:proofErr w:type="gramStart"/>
      <w:r w:rsidR="003A68BF" w:rsidRPr="00F92330">
        <w:rPr>
          <w:rFonts w:eastAsia="Times New Roman" w:cstheme="minorHAnsi"/>
          <w:color w:val="000000"/>
          <w:sz w:val="24"/>
          <w:szCs w:val="24"/>
        </w:rPr>
        <w:t>is funded</w:t>
      </w:r>
      <w:proofErr w:type="gramEnd"/>
      <w:r w:rsidR="003A68BF" w:rsidRPr="00F92330">
        <w:rPr>
          <w:rFonts w:eastAsia="Times New Roman" w:cstheme="minorHAnsi"/>
          <w:color w:val="000000"/>
          <w:sz w:val="24"/>
          <w:szCs w:val="24"/>
        </w:rPr>
        <w:t xml:space="preserve"> through foundation or grant money (</w:t>
      </w:r>
      <w:r w:rsidR="00837A88" w:rsidRPr="00F92330">
        <w:rPr>
          <w:rFonts w:eastAsia="Times New Roman" w:cstheme="minorHAnsi"/>
          <w:color w:val="000000"/>
          <w:sz w:val="24"/>
          <w:szCs w:val="24"/>
        </w:rPr>
        <w:t>LSNC, 2019</w:t>
      </w:r>
      <w:r w:rsidR="003A68BF" w:rsidRPr="00F92330">
        <w:rPr>
          <w:rFonts w:eastAsia="Times New Roman" w:cstheme="minorHAnsi"/>
          <w:color w:val="000000"/>
          <w:sz w:val="24"/>
          <w:szCs w:val="24"/>
        </w:rPr>
        <w:t xml:space="preserve">). </w:t>
      </w:r>
    </w:p>
    <w:p w14:paraId="257EA778" w14:textId="36B88E72" w:rsidR="00FC4E43"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In a systematic review of research on tenant evictions</w:t>
      </w:r>
      <w:r w:rsidR="00944D70" w:rsidRPr="00F92330">
        <w:rPr>
          <w:rFonts w:eastAsia="Times New Roman" w:cstheme="minorHAnsi"/>
          <w:color w:val="000000"/>
          <w:sz w:val="24"/>
          <w:szCs w:val="24"/>
        </w:rPr>
        <w:t xml:space="preserve">, researchers followed 134 tenants receiving </w:t>
      </w:r>
      <w:r w:rsidRPr="00F92330">
        <w:rPr>
          <w:rFonts w:eastAsia="Times New Roman" w:cstheme="minorHAnsi"/>
          <w:color w:val="000000"/>
          <w:sz w:val="24"/>
          <w:szCs w:val="24"/>
        </w:rPr>
        <w:t>legal assistance through advice or full representation</w:t>
      </w:r>
      <w:r w:rsidR="00944D70" w:rsidRPr="00F92330">
        <w:rPr>
          <w:rFonts w:eastAsia="Times New Roman" w:cstheme="minorHAnsi"/>
          <w:color w:val="000000"/>
          <w:sz w:val="24"/>
          <w:szCs w:val="24"/>
        </w:rPr>
        <w:t xml:space="preserve"> and compared them against a control group of the same number</w:t>
      </w:r>
      <w:r w:rsidRPr="00F92330">
        <w:rPr>
          <w:rFonts w:eastAsia="Times New Roman" w:cstheme="minorHAnsi"/>
          <w:color w:val="000000"/>
          <w:sz w:val="24"/>
          <w:szCs w:val="24"/>
        </w:rPr>
        <w:t xml:space="preserve">. </w:t>
      </w:r>
      <w:r w:rsidRPr="00F92330">
        <w:rPr>
          <w:rFonts w:cstheme="minorHAnsi"/>
          <w:sz w:val="24"/>
          <w:szCs w:val="24"/>
        </w:rPr>
        <w:t>(</w:t>
      </w:r>
      <w:r w:rsidR="00FF79DE" w:rsidRPr="00F92330">
        <w:rPr>
          <w:rFonts w:eastAsia="Times New Roman" w:cstheme="minorHAnsi"/>
          <w:color w:val="000000"/>
          <w:sz w:val="24"/>
          <w:szCs w:val="24"/>
        </w:rPr>
        <w:t>Holl et al, 2016</w:t>
      </w:r>
      <w:r w:rsidRPr="00F92330">
        <w:rPr>
          <w:rFonts w:cstheme="minorHAnsi"/>
          <w:sz w:val="24"/>
          <w:szCs w:val="24"/>
        </w:rPr>
        <w:t xml:space="preserve">) </w:t>
      </w:r>
      <w:r w:rsidRPr="00F92330">
        <w:rPr>
          <w:rFonts w:eastAsia="Times New Roman" w:cstheme="minorHAnsi"/>
          <w:color w:val="000000"/>
          <w:sz w:val="24"/>
          <w:szCs w:val="24"/>
        </w:rPr>
        <w:t xml:space="preserve">Those who received no assistance or advice were 20% more likely to </w:t>
      </w:r>
      <w:r w:rsidR="004F4B2C" w:rsidRPr="00F92330">
        <w:rPr>
          <w:rFonts w:eastAsia="Times New Roman" w:cstheme="minorHAnsi"/>
          <w:color w:val="000000"/>
          <w:sz w:val="24"/>
          <w:szCs w:val="24"/>
        </w:rPr>
        <w:t>face</w:t>
      </w:r>
      <w:r w:rsidRPr="00F92330">
        <w:rPr>
          <w:rFonts w:eastAsia="Times New Roman" w:cstheme="minorHAnsi"/>
          <w:color w:val="000000"/>
          <w:sz w:val="24"/>
          <w:szCs w:val="24"/>
        </w:rPr>
        <w:t xml:space="preserve"> eviction warrant</w:t>
      </w:r>
      <w:r w:rsidR="004F4B2C" w:rsidRPr="00F92330">
        <w:rPr>
          <w:rFonts w:eastAsia="Times New Roman" w:cstheme="minorHAnsi"/>
          <w:color w:val="000000"/>
          <w:sz w:val="24"/>
          <w:szCs w:val="24"/>
        </w:rPr>
        <w:t>s</w:t>
      </w:r>
      <w:r w:rsidRPr="00F92330">
        <w:rPr>
          <w:rFonts w:eastAsia="Times New Roman" w:cstheme="minorHAnsi"/>
          <w:color w:val="000000"/>
          <w:sz w:val="24"/>
          <w:szCs w:val="24"/>
        </w:rPr>
        <w:t xml:space="preserve"> than those who did receive advice or assistance. For those who were already engaged in the court process, tenants who engaged in mediation or stipulation processes during their unlawful detainer trial were less likely to have to leave their dwelling than those who did not. (</w:t>
      </w:r>
      <w:r w:rsidR="00213711" w:rsidRPr="00F92330">
        <w:rPr>
          <w:rFonts w:eastAsia="Times New Roman" w:cstheme="minorHAnsi"/>
          <w:color w:val="000000"/>
          <w:sz w:val="24"/>
          <w:szCs w:val="24"/>
        </w:rPr>
        <w:t>Tsai et al, 2020</w:t>
      </w:r>
      <w:r w:rsidRPr="00F92330">
        <w:rPr>
          <w:rFonts w:eastAsia="Times New Roman" w:cstheme="minorHAnsi"/>
          <w:color w:val="000000"/>
          <w:sz w:val="24"/>
          <w:szCs w:val="24"/>
        </w:rPr>
        <w:t xml:space="preserve">) </w:t>
      </w:r>
    </w:p>
    <w:p w14:paraId="3A659432" w14:textId="089F6A82" w:rsidR="004F4B2C" w:rsidRPr="00F92330" w:rsidRDefault="004F4B2C"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Policymakers should consider right-to-counsel as part of the framework of just-cause eviction, not as a privatized policy that stands on its own. Law firms have little incentive to help </w:t>
      </w:r>
      <w:proofErr w:type="gramStart"/>
      <w:r w:rsidRPr="00F92330">
        <w:rPr>
          <w:rFonts w:eastAsia="Times New Roman" w:cstheme="minorHAnsi"/>
          <w:color w:val="000000"/>
          <w:sz w:val="24"/>
          <w:szCs w:val="24"/>
        </w:rPr>
        <w:t>low income</w:t>
      </w:r>
      <w:proofErr w:type="gramEnd"/>
      <w:r w:rsidRPr="00F92330">
        <w:rPr>
          <w:rFonts w:eastAsia="Times New Roman" w:cstheme="minorHAnsi"/>
          <w:color w:val="000000"/>
          <w:sz w:val="24"/>
          <w:szCs w:val="24"/>
        </w:rPr>
        <w:t xml:space="preserve"> clients, and the savings for the state in privatized costs will translate to little available services for tenants. The most equitable strategy for right to counsel is for the state to create grant funds or pilot programs which dedicate funds to publicly available legal services for tenants, such as the 2011 Shiver Project (</w:t>
      </w:r>
      <w:r w:rsidR="00D6081D" w:rsidRPr="00F92330">
        <w:rPr>
          <w:rFonts w:eastAsia="Times New Roman" w:cstheme="minorHAnsi"/>
          <w:color w:val="000000"/>
          <w:sz w:val="24"/>
          <w:szCs w:val="24"/>
        </w:rPr>
        <w:t xml:space="preserve">Inglis </w:t>
      </w:r>
      <w:r w:rsidR="00D6081D">
        <w:rPr>
          <w:rFonts w:eastAsia="Times New Roman" w:cstheme="minorHAnsi"/>
          <w:color w:val="000000"/>
          <w:sz w:val="24"/>
          <w:szCs w:val="24"/>
        </w:rPr>
        <w:t>&amp; Preston</w:t>
      </w:r>
      <w:r w:rsidR="00D6081D" w:rsidRPr="00F92330">
        <w:rPr>
          <w:rFonts w:eastAsia="Times New Roman" w:cstheme="minorHAnsi"/>
          <w:color w:val="000000"/>
          <w:sz w:val="24"/>
          <w:szCs w:val="24"/>
        </w:rPr>
        <w:t>, 2018</w:t>
      </w:r>
      <w:r w:rsidRPr="00F92330">
        <w:rPr>
          <w:rFonts w:eastAsia="Times New Roman" w:cstheme="minorHAnsi"/>
          <w:color w:val="000000"/>
          <w:sz w:val="24"/>
          <w:szCs w:val="24"/>
        </w:rPr>
        <w:t>). Some municipalities are already investing in these programs, such as San Francisco which plans to invest $5 billion in right to counsel funds over the next 2 years (Bree</w:t>
      </w:r>
      <w:r w:rsidR="00837A88" w:rsidRPr="00F92330">
        <w:rPr>
          <w:rFonts w:eastAsia="Times New Roman" w:cstheme="minorHAnsi"/>
          <w:color w:val="000000"/>
          <w:sz w:val="24"/>
          <w:szCs w:val="24"/>
        </w:rPr>
        <w:t>d, 2018</w:t>
      </w:r>
      <w:r w:rsidRPr="00F92330">
        <w:rPr>
          <w:rFonts w:eastAsia="Times New Roman" w:cstheme="minorHAnsi"/>
          <w:color w:val="000000"/>
          <w:sz w:val="24"/>
          <w:szCs w:val="24"/>
        </w:rPr>
        <w:t xml:space="preserve">).  </w:t>
      </w:r>
    </w:p>
    <w:p w14:paraId="3278CA8A" w14:textId="77777777" w:rsidR="00867A3D" w:rsidRPr="00F92330" w:rsidRDefault="00867A3D" w:rsidP="008420E0">
      <w:pPr>
        <w:spacing w:after="120" w:line="240" w:lineRule="auto"/>
        <w:rPr>
          <w:rFonts w:eastAsia="Times New Roman" w:cstheme="minorHAnsi"/>
          <w:b/>
          <w:bCs/>
          <w:color w:val="000000"/>
          <w:sz w:val="24"/>
          <w:szCs w:val="24"/>
        </w:rPr>
      </w:pPr>
    </w:p>
    <w:p w14:paraId="01195AF0" w14:textId="77777777" w:rsidR="00FC4E43" w:rsidRPr="00F92330" w:rsidRDefault="00FC4E43" w:rsidP="008420E0">
      <w:pPr>
        <w:spacing w:after="120" w:line="240" w:lineRule="auto"/>
        <w:rPr>
          <w:rStyle w:val="IntenseReference"/>
          <w:rFonts w:cstheme="minorHAnsi"/>
          <w:sz w:val="24"/>
          <w:szCs w:val="24"/>
        </w:rPr>
      </w:pPr>
      <w:r w:rsidRPr="00F92330">
        <w:rPr>
          <w:rStyle w:val="IntenseReference"/>
          <w:rFonts w:cstheme="minorHAnsi"/>
          <w:sz w:val="24"/>
          <w:szCs w:val="24"/>
        </w:rPr>
        <w:t xml:space="preserve">Passive Interventions </w:t>
      </w:r>
    </w:p>
    <w:p w14:paraId="44C266B4" w14:textId="5BC01A86" w:rsidR="00FC4E43" w:rsidRPr="00F92330" w:rsidRDefault="00FC4E43" w:rsidP="008420E0">
      <w:pPr>
        <w:spacing w:after="120" w:line="240" w:lineRule="auto"/>
        <w:rPr>
          <w:rFonts w:cstheme="minorHAnsi"/>
          <w:b/>
          <w:bCs/>
          <w:sz w:val="24"/>
          <w:szCs w:val="24"/>
        </w:rPr>
      </w:pPr>
      <w:r w:rsidRPr="00F92330">
        <w:rPr>
          <w:rFonts w:cstheme="minorHAnsi"/>
          <w:sz w:val="24"/>
          <w:szCs w:val="24"/>
        </w:rPr>
        <w:t>Housing First stipulates that our institutions should rehouse homeless people in affordable</w:t>
      </w:r>
      <w:r w:rsidR="004C466E" w:rsidRPr="00F92330">
        <w:rPr>
          <w:rFonts w:cstheme="minorHAnsi"/>
          <w:sz w:val="24"/>
          <w:szCs w:val="24"/>
        </w:rPr>
        <w:t>,</w:t>
      </w:r>
      <w:r w:rsidRPr="00F92330">
        <w:rPr>
          <w:rFonts w:cstheme="minorHAnsi"/>
          <w:sz w:val="24"/>
          <w:szCs w:val="24"/>
        </w:rPr>
        <w:t xml:space="preserve"> subsidized</w:t>
      </w:r>
      <w:r w:rsidR="004C466E" w:rsidRPr="00F92330">
        <w:rPr>
          <w:rFonts w:cstheme="minorHAnsi"/>
          <w:sz w:val="24"/>
          <w:szCs w:val="24"/>
        </w:rPr>
        <w:t>, or supportive</w:t>
      </w:r>
      <w:r w:rsidRPr="00F92330">
        <w:rPr>
          <w:rFonts w:cstheme="minorHAnsi"/>
          <w:sz w:val="24"/>
          <w:szCs w:val="24"/>
        </w:rPr>
        <w:t xml:space="preserve"> housing with no barriers to entry such as sobriety or critical support programs</w:t>
      </w:r>
      <w:r w:rsidR="00B46155" w:rsidRPr="00F92330">
        <w:rPr>
          <w:rFonts w:cstheme="minorHAnsi"/>
          <w:sz w:val="24"/>
          <w:szCs w:val="24"/>
        </w:rPr>
        <w:t xml:space="preserve">. Many homelessness advocates have recommended the Housing First strategy, and research over the last several decades after the emergence of homelessness as a policy </w:t>
      </w:r>
      <w:r w:rsidR="00B46155" w:rsidRPr="00F92330">
        <w:rPr>
          <w:rFonts w:cstheme="minorHAnsi"/>
          <w:sz w:val="24"/>
          <w:szCs w:val="24"/>
        </w:rPr>
        <w:lastRenderedPageBreak/>
        <w:t>problem has borne out their enthusiasm</w:t>
      </w:r>
      <w:r w:rsidR="000B14E8" w:rsidRPr="00F92330">
        <w:rPr>
          <w:rFonts w:cstheme="minorHAnsi"/>
          <w:sz w:val="24"/>
          <w:szCs w:val="24"/>
        </w:rPr>
        <w:t xml:space="preserve"> (</w:t>
      </w:r>
      <w:r w:rsidR="00BB3A82" w:rsidRPr="00F92330">
        <w:rPr>
          <w:rFonts w:cstheme="minorHAnsi"/>
          <w:sz w:val="24"/>
          <w:szCs w:val="24"/>
        </w:rPr>
        <w:t>Peters, 2021;</w:t>
      </w:r>
      <w:r w:rsidR="000B14E8" w:rsidRPr="00F92330">
        <w:rPr>
          <w:rFonts w:cstheme="minorHAnsi"/>
          <w:sz w:val="24"/>
          <w:szCs w:val="24"/>
        </w:rPr>
        <w:t xml:space="preserve"> </w:t>
      </w:r>
      <w:r w:rsidR="00BB3A82" w:rsidRPr="00F92330">
        <w:rPr>
          <w:rFonts w:cstheme="minorHAnsi"/>
          <w:sz w:val="24"/>
          <w:szCs w:val="24"/>
        </w:rPr>
        <w:t xml:space="preserve">Cunningham &amp; </w:t>
      </w:r>
      <w:proofErr w:type="spellStart"/>
      <w:r w:rsidR="00BB3A82" w:rsidRPr="00F92330">
        <w:rPr>
          <w:rFonts w:cstheme="minorHAnsi"/>
          <w:sz w:val="24"/>
          <w:szCs w:val="24"/>
        </w:rPr>
        <w:t>Batko</w:t>
      </w:r>
      <w:proofErr w:type="spellEnd"/>
      <w:r w:rsidR="00BB3A82" w:rsidRPr="00F92330">
        <w:rPr>
          <w:rFonts w:cstheme="minorHAnsi"/>
          <w:sz w:val="24"/>
          <w:szCs w:val="24"/>
        </w:rPr>
        <w:t xml:space="preserve">, 2018; </w:t>
      </w:r>
      <w:proofErr w:type="spellStart"/>
      <w:r w:rsidR="00BB3A82" w:rsidRPr="00F92330">
        <w:rPr>
          <w:rFonts w:cstheme="minorHAnsi"/>
          <w:sz w:val="24"/>
          <w:szCs w:val="24"/>
        </w:rPr>
        <w:t>Trewern</w:t>
      </w:r>
      <w:proofErr w:type="spellEnd"/>
      <w:r w:rsidR="00BB3A82" w:rsidRPr="00F92330">
        <w:rPr>
          <w:rFonts w:cstheme="minorHAnsi"/>
          <w:sz w:val="24"/>
          <w:szCs w:val="24"/>
        </w:rPr>
        <w:t>, 2019</w:t>
      </w:r>
      <w:r w:rsidR="000B14E8" w:rsidRPr="00F92330">
        <w:rPr>
          <w:rFonts w:cstheme="minorHAnsi"/>
          <w:sz w:val="24"/>
          <w:szCs w:val="24"/>
        </w:rPr>
        <w:t>)</w:t>
      </w:r>
      <w:r w:rsidR="00B46155" w:rsidRPr="00F92330">
        <w:rPr>
          <w:rFonts w:cstheme="minorHAnsi"/>
          <w:sz w:val="24"/>
          <w:szCs w:val="24"/>
        </w:rPr>
        <w:t>. Several case studies have shown that rehousing strategies that just focus on getting homeless people into stable living conditions are broadly successful. Most</w:t>
      </w:r>
      <w:r w:rsidRPr="00F92330">
        <w:rPr>
          <w:rFonts w:cstheme="minorHAnsi"/>
          <w:sz w:val="24"/>
          <w:szCs w:val="24"/>
        </w:rPr>
        <w:t xml:space="preserve"> advocates emphasize that </w:t>
      </w:r>
      <w:r w:rsidR="00B53EC0" w:rsidRPr="00F92330">
        <w:rPr>
          <w:rFonts w:cstheme="minorHAnsi"/>
          <w:sz w:val="24"/>
          <w:szCs w:val="24"/>
        </w:rPr>
        <w:t xml:space="preserve">institutions should make </w:t>
      </w:r>
      <w:r w:rsidRPr="00F92330">
        <w:rPr>
          <w:rFonts w:cstheme="minorHAnsi"/>
          <w:sz w:val="24"/>
          <w:szCs w:val="24"/>
        </w:rPr>
        <w:t xml:space="preserve">services </w:t>
      </w:r>
      <w:r w:rsidR="00B53EC0" w:rsidRPr="00F92330">
        <w:rPr>
          <w:rFonts w:cstheme="minorHAnsi"/>
          <w:sz w:val="24"/>
          <w:szCs w:val="24"/>
        </w:rPr>
        <w:t xml:space="preserve">available </w:t>
      </w:r>
      <w:r w:rsidRPr="00F92330">
        <w:rPr>
          <w:rFonts w:cstheme="minorHAnsi"/>
          <w:sz w:val="24"/>
          <w:szCs w:val="24"/>
        </w:rPr>
        <w:t xml:space="preserve">for people to get sober and for people to have their mental health issues </w:t>
      </w:r>
      <w:r w:rsidR="00B53EC0" w:rsidRPr="00F92330">
        <w:rPr>
          <w:rFonts w:cstheme="minorHAnsi"/>
          <w:sz w:val="24"/>
          <w:szCs w:val="24"/>
        </w:rPr>
        <w:t xml:space="preserve">as </w:t>
      </w:r>
      <w:proofErr w:type="gramStart"/>
      <w:r w:rsidR="00B53EC0" w:rsidRPr="00F92330">
        <w:rPr>
          <w:rFonts w:cstheme="minorHAnsi"/>
          <w:sz w:val="24"/>
          <w:szCs w:val="24"/>
        </w:rPr>
        <w:t>well</w:t>
      </w:r>
      <w:r w:rsidRPr="00F92330">
        <w:rPr>
          <w:rFonts w:cstheme="minorHAnsi"/>
          <w:sz w:val="24"/>
          <w:szCs w:val="24"/>
        </w:rPr>
        <w:t>, but</w:t>
      </w:r>
      <w:proofErr w:type="gramEnd"/>
      <w:r w:rsidRPr="00F92330">
        <w:rPr>
          <w:rFonts w:cstheme="minorHAnsi"/>
          <w:sz w:val="24"/>
          <w:szCs w:val="24"/>
        </w:rPr>
        <w:t xml:space="preserve"> should not </w:t>
      </w:r>
      <w:r w:rsidR="00B53EC0" w:rsidRPr="00F92330">
        <w:rPr>
          <w:rFonts w:cstheme="minorHAnsi"/>
          <w:sz w:val="24"/>
          <w:szCs w:val="24"/>
        </w:rPr>
        <w:t xml:space="preserve">make those services </w:t>
      </w:r>
      <w:r w:rsidRPr="00F92330">
        <w:rPr>
          <w:rFonts w:cstheme="minorHAnsi"/>
          <w:sz w:val="24"/>
          <w:szCs w:val="24"/>
        </w:rPr>
        <w:t xml:space="preserve">compulsory. </w:t>
      </w:r>
      <w:r w:rsidR="004C466E" w:rsidRPr="00F92330">
        <w:rPr>
          <w:rFonts w:cstheme="minorHAnsi"/>
          <w:sz w:val="24"/>
          <w:szCs w:val="24"/>
        </w:rPr>
        <w:t xml:space="preserve">Current research shows that </w:t>
      </w:r>
      <w:r w:rsidRPr="00F92330">
        <w:rPr>
          <w:rFonts w:cstheme="minorHAnsi"/>
          <w:sz w:val="24"/>
          <w:szCs w:val="24"/>
        </w:rPr>
        <w:t>at least 75% of people who were rapidly rehoused stayed in their homes a year later regardless of other variables around their personal conditions (</w:t>
      </w:r>
      <w:r w:rsidR="008F76D5" w:rsidRPr="00F92330">
        <w:rPr>
          <w:rFonts w:eastAsia="Times New Roman" w:cstheme="minorHAnsi"/>
          <w:color w:val="000000"/>
          <w:sz w:val="24"/>
          <w:szCs w:val="24"/>
        </w:rPr>
        <w:t>Mitchell, 2019</w:t>
      </w:r>
      <w:r w:rsidRPr="00F92330">
        <w:rPr>
          <w:rFonts w:cstheme="minorHAnsi"/>
          <w:sz w:val="24"/>
          <w:szCs w:val="24"/>
        </w:rPr>
        <w:t xml:space="preserve">, </w:t>
      </w:r>
      <w:proofErr w:type="spellStart"/>
      <w:r w:rsidR="00367B0F" w:rsidRPr="00F92330">
        <w:rPr>
          <w:rFonts w:cstheme="minorHAnsi"/>
          <w:sz w:val="24"/>
          <w:szCs w:val="24"/>
        </w:rPr>
        <w:t>Bassuk</w:t>
      </w:r>
      <w:proofErr w:type="spellEnd"/>
      <w:r w:rsidR="00367B0F" w:rsidRPr="00F92330">
        <w:rPr>
          <w:rFonts w:cstheme="minorHAnsi"/>
          <w:sz w:val="24"/>
          <w:szCs w:val="24"/>
        </w:rPr>
        <w:t xml:space="preserve"> et al, 2014</w:t>
      </w:r>
      <w:r w:rsidRPr="00F92330">
        <w:rPr>
          <w:rFonts w:cstheme="minorHAnsi"/>
          <w:sz w:val="24"/>
          <w:szCs w:val="24"/>
        </w:rPr>
        <w:t xml:space="preserve">, </w:t>
      </w:r>
      <w:r w:rsidR="00837A88" w:rsidRPr="00F92330">
        <w:rPr>
          <w:rFonts w:cstheme="minorHAnsi"/>
          <w:sz w:val="24"/>
          <w:szCs w:val="24"/>
        </w:rPr>
        <w:t>NAEH, 2019</w:t>
      </w:r>
      <w:r w:rsidRPr="00F92330">
        <w:rPr>
          <w:rFonts w:cstheme="minorHAnsi"/>
          <w:sz w:val="24"/>
          <w:szCs w:val="24"/>
        </w:rPr>
        <w:t>)</w:t>
      </w:r>
    </w:p>
    <w:p w14:paraId="7E8A4929" w14:textId="3CA28C2C" w:rsidR="00FC4E43" w:rsidRPr="00F92330" w:rsidRDefault="002E607B" w:rsidP="008420E0">
      <w:pPr>
        <w:spacing w:after="120" w:line="240" w:lineRule="auto"/>
        <w:rPr>
          <w:rFonts w:cstheme="minorHAnsi"/>
          <w:sz w:val="24"/>
          <w:szCs w:val="24"/>
        </w:rPr>
      </w:pPr>
      <w:r>
        <w:rPr>
          <w:rFonts w:cstheme="minorHAnsi"/>
          <w:sz w:val="24"/>
          <w:szCs w:val="24"/>
        </w:rPr>
        <w:t>E</w:t>
      </w:r>
      <w:r w:rsidR="004E5A28" w:rsidRPr="00F92330">
        <w:rPr>
          <w:rFonts w:cstheme="minorHAnsi"/>
          <w:sz w:val="24"/>
          <w:szCs w:val="24"/>
        </w:rPr>
        <w:t>nhancing h</w:t>
      </w:r>
      <w:r w:rsidR="00FC4E43" w:rsidRPr="00F92330">
        <w:rPr>
          <w:rFonts w:cstheme="minorHAnsi"/>
          <w:sz w:val="24"/>
          <w:szCs w:val="24"/>
        </w:rPr>
        <w:t xml:space="preserve">ousing sustainability </w:t>
      </w:r>
      <w:r w:rsidR="004E5A28" w:rsidRPr="00F92330">
        <w:rPr>
          <w:rFonts w:cstheme="minorHAnsi"/>
          <w:sz w:val="24"/>
          <w:szCs w:val="24"/>
        </w:rPr>
        <w:t xml:space="preserve">will </w:t>
      </w:r>
      <w:r w:rsidR="00FC4E43" w:rsidRPr="00F92330">
        <w:rPr>
          <w:rFonts w:cstheme="minorHAnsi"/>
          <w:sz w:val="24"/>
          <w:szCs w:val="24"/>
        </w:rPr>
        <w:t xml:space="preserve">require a variety of different policy </w:t>
      </w:r>
      <w:proofErr w:type="gramStart"/>
      <w:r w:rsidR="00FC4E43" w:rsidRPr="00F92330">
        <w:rPr>
          <w:rFonts w:cstheme="minorHAnsi"/>
          <w:sz w:val="24"/>
          <w:szCs w:val="24"/>
        </w:rPr>
        <w:t>strategies, and</w:t>
      </w:r>
      <w:proofErr w:type="gramEnd"/>
      <w:r w:rsidR="00FC4E43" w:rsidRPr="00F92330">
        <w:rPr>
          <w:rFonts w:cstheme="minorHAnsi"/>
          <w:sz w:val="24"/>
          <w:szCs w:val="24"/>
        </w:rPr>
        <w:t xml:space="preserve"> concerns </w:t>
      </w:r>
      <w:r w:rsidR="004E5A28" w:rsidRPr="00F92330">
        <w:rPr>
          <w:rFonts w:cstheme="minorHAnsi"/>
          <w:sz w:val="24"/>
          <w:szCs w:val="24"/>
        </w:rPr>
        <w:t>a related policy area that is too broad to discuss in this policy report</w:t>
      </w:r>
      <w:r w:rsidR="00FC4E43" w:rsidRPr="00F92330">
        <w:rPr>
          <w:rFonts w:cstheme="minorHAnsi"/>
          <w:sz w:val="24"/>
          <w:szCs w:val="24"/>
        </w:rPr>
        <w:t xml:space="preserve">. But </w:t>
      </w:r>
      <w:r w:rsidR="004E5A28" w:rsidRPr="00F92330">
        <w:rPr>
          <w:rFonts w:cstheme="minorHAnsi"/>
          <w:sz w:val="24"/>
          <w:szCs w:val="24"/>
        </w:rPr>
        <w:t>I mention housing sustainability here because it is structurally important to ensure that policies to limit evictions are more effective</w:t>
      </w:r>
      <w:r w:rsidR="00FC4E43" w:rsidRPr="00F92330">
        <w:rPr>
          <w:rFonts w:cstheme="minorHAnsi"/>
          <w:sz w:val="24"/>
          <w:szCs w:val="24"/>
        </w:rPr>
        <w:t xml:space="preserve">. Our institutions are responsible for relieving some pressure from a constrained housing market on tenants and landlords. Policy solutions that </w:t>
      </w:r>
      <w:r w:rsidR="00C6346E" w:rsidRPr="00F92330">
        <w:rPr>
          <w:rFonts w:cstheme="minorHAnsi"/>
          <w:sz w:val="24"/>
          <w:szCs w:val="24"/>
        </w:rPr>
        <w:t xml:space="preserve">ensure housing is more affordable and available, and that more people </w:t>
      </w:r>
      <w:r w:rsidR="00316DFE" w:rsidRPr="00F92330">
        <w:rPr>
          <w:rFonts w:cstheme="minorHAnsi"/>
          <w:sz w:val="24"/>
          <w:szCs w:val="24"/>
        </w:rPr>
        <w:t>can</w:t>
      </w:r>
      <w:r w:rsidR="00C6346E" w:rsidRPr="00F92330">
        <w:rPr>
          <w:rFonts w:cstheme="minorHAnsi"/>
          <w:sz w:val="24"/>
          <w:szCs w:val="24"/>
        </w:rPr>
        <w:t xml:space="preserve"> remain housed contribute to easing market and political pressures on both landlords and tenants (</w:t>
      </w:r>
      <w:r w:rsidR="00503321" w:rsidRPr="00F92330">
        <w:rPr>
          <w:rFonts w:cstheme="minorHAnsi"/>
          <w:sz w:val="24"/>
          <w:szCs w:val="24"/>
        </w:rPr>
        <w:t>Levin, 2021</w:t>
      </w:r>
      <w:r w:rsidR="00C6346E" w:rsidRPr="00F92330">
        <w:rPr>
          <w:rFonts w:cstheme="minorHAnsi"/>
          <w:sz w:val="24"/>
          <w:szCs w:val="24"/>
        </w:rPr>
        <w:t>)</w:t>
      </w:r>
      <w:r w:rsidR="00FC4E43" w:rsidRPr="00F92330">
        <w:rPr>
          <w:rFonts w:cstheme="minorHAnsi"/>
          <w:sz w:val="24"/>
          <w:szCs w:val="24"/>
        </w:rPr>
        <w:t xml:space="preserve">. Those policy solutions do not simply rely on building more </w:t>
      </w:r>
      <w:proofErr w:type="gramStart"/>
      <w:r w:rsidR="00FC4E43" w:rsidRPr="00F92330">
        <w:rPr>
          <w:rFonts w:cstheme="minorHAnsi"/>
          <w:sz w:val="24"/>
          <w:szCs w:val="24"/>
        </w:rPr>
        <w:t>housing, but</w:t>
      </w:r>
      <w:proofErr w:type="gramEnd"/>
      <w:r w:rsidR="00FC4E43" w:rsidRPr="00F92330">
        <w:rPr>
          <w:rFonts w:cstheme="minorHAnsi"/>
          <w:sz w:val="24"/>
          <w:szCs w:val="24"/>
        </w:rPr>
        <w:t xml:space="preserve"> require policymakers to implement programs such as rent control, affordable housing requirements and incentives, and more robust voucher systems</w:t>
      </w:r>
      <w:r w:rsidR="00AB3813" w:rsidRPr="00F92330">
        <w:rPr>
          <w:rFonts w:cstheme="minorHAnsi"/>
          <w:sz w:val="24"/>
          <w:szCs w:val="24"/>
        </w:rPr>
        <w:t xml:space="preserve"> (</w:t>
      </w:r>
      <w:r w:rsidR="00316DFE" w:rsidRPr="00F92330">
        <w:rPr>
          <w:rFonts w:cstheme="minorHAnsi"/>
          <w:sz w:val="24"/>
          <w:szCs w:val="24"/>
        </w:rPr>
        <w:t xml:space="preserve">Rodriguez-Pose &amp; </w:t>
      </w:r>
      <w:proofErr w:type="spellStart"/>
      <w:r w:rsidR="00316DFE" w:rsidRPr="00F92330">
        <w:rPr>
          <w:rFonts w:cstheme="minorHAnsi"/>
          <w:sz w:val="24"/>
          <w:szCs w:val="24"/>
        </w:rPr>
        <w:t>Storper</w:t>
      </w:r>
      <w:proofErr w:type="spellEnd"/>
      <w:r w:rsidR="00316DFE" w:rsidRPr="00F92330">
        <w:rPr>
          <w:rFonts w:cstheme="minorHAnsi"/>
          <w:sz w:val="24"/>
          <w:szCs w:val="24"/>
        </w:rPr>
        <w:t>, 2019</w:t>
      </w:r>
      <w:r w:rsidR="00AB3813" w:rsidRPr="00F92330">
        <w:rPr>
          <w:rFonts w:cstheme="minorHAnsi"/>
          <w:sz w:val="24"/>
          <w:szCs w:val="24"/>
        </w:rPr>
        <w:t>)</w:t>
      </w:r>
      <w:r w:rsidR="00FC4E43" w:rsidRPr="00F92330">
        <w:rPr>
          <w:rFonts w:cstheme="minorHAnsi"/>
          <w:sz w:val="24"/>
          <w:szCs w:val="24"/>
        </w:rPr>
        <w:t xml:space="preserve">.  </w:t>
      </w:r>
    </w:p>
    <w:p w14:paraId="1A25A24F" w14:textId="291D1EB1" w:rsidR="00FC4E43" w:rsidRPr="00F92330" w:rsidRDefault="00B82712" w:rsidP="008420E0">
      <w:pPr>
        <w:spacing w:after="120" w:line="240" w:lineRule="auto"/>
        <w:rPr>
          <w:rFonts w:cstheme="minorHAnsi"/>
          <w:sz w:val="24"/>
          <w:szCs w:val="24"/>
        </w:rPr>
      </w:pPr>
      <w:r>
        <w:rPr>
          <w:rFonts w:cstheme="minorHAnsi"/>
          <w:sz w:val="24"/>
          <w:szCs w:val="24"/>
        </w:rPr>
        <w:t>P</w:t>
      </w:r>
      <w:r w:rsidR="007B7D7B" w:rsidRPr="00F92330">
        <w:rPr>
          <w:rFonts w:cstheme="minorHAnsi"/>
          <w:sz w:val="24"/>
          <w:szCs w:val="24"/>
        </w:rPr>
        <w:t>assive intervention</w:t>
      </w:r>
      <w:r w:rsidR="00FC4E43" w:rsidRPr="00F92330">
        <w:rPr>
          <w:rFonts w:cstheme="minorHAnsi"/>
          <w:sz w:val="24"/>
          <w:szCs w:val="24"/>
        </w:rPr>
        <w:t xml:space="preserve"> policies have a low impact on impeding the </w:t>
      </w:r>
      <w:proofErr w:type="gramStart"/>
      <w:r w:rsidR="00FC4E43" w:rsidRPr="00F92330">
        <w:rPr>
          <w:rFonts w:cstheme="minorHAnsi"/>
          <w:sz w:val="24"/>
          <w:szCs w:val="24"/>
        </w:rPr>
        <w:t>actually traumatic</w:t>
      </w:r>
      <w:proofErr w:type="gramEnd"/>
      <w:r w:rsidR="00FC4E43" w:rsidRPr="00F92330">
        <w:rPr>
          <w:rFonts w:cstheme="minorHAnsi"/>
          <w:sz w:val="24"/>
          <w:szCs w:val="24"/>
        </w:rPr>
        <w:t xml:space="preserve"> event of eviction or directly treating mental health issues related to substandard housing and the eviction process. Additionally, these policies do not have a direct mitigating effect on homelessness, nor do they address root mental health causes related to homelessness in the material process of rehousing families. </w:t>
      </w:r>
      <w:r w:rsidR="00700EB6" w:rsidRPr="00F92330">
        <w:rPr>
          <w:rFonts w:cstheme="minorHAnsi"/>
          <w:sz w:val="24"/>
          <w:szCs w:val="24"/>
        </w:rPr>
        <w:t>They effect neighborhood characteristics and do not directly target evictions or mental health disorders. Policymakers should consider these policies as supportive frameworks in which direct eviction and mental health interventions are more likely to succeed.</w:t>
      </w:r>
    </w:p>
    <w:p w14:paraId="30D06048" w14:textId="77777777" w:rsidR="00FC4E43" w:rsidRPr="00F92330" w:rsidRDefault="00FC4E43" w:rsidP="008420E0">
      <w:pPr>
        <w:spacing w:after="120" w:line="240" w:lineRule="auto"/>
        <w:rPr>
          <w:rFonts w:eastAsia="Times New Roman" w:cstheme="minorHAnsi"/>
          <w:b/>
          <w:bCs/>
          <w:color w:val="000000"/>
          <w:sz w:val="24"/>
          <w:szCs w:val="24"/>
        </w:rPr>
      </w:pPr>
    </w:p>
    <w:p w14:paraId="450A6ABF" w14:textId="77777777" w:rsidR="00FC4E43" w:rsidRPr="00F92330" w:rsidRDefault="00FC4E43" w:rsidP="008420E0">
      <w:pPr>
        <w:spacing w:after="120" w:line="240" w:lineRule="auto"/>
        <w:rPr>
          <w:rStyle w:val="IntenseReference"/>
          <w:rFonts w:cstheme="minorHAnsi"/>
          <w:sz w:val="24"/>
          <w:szCs w:val="24"/>
        </w:rPr>
      </w:pPr>
      <w:r w:rsidRPr="00F92330">
        <w:rPr>
          <w:rStyle w:val="IntenseReference"/>
          <w:rFonts w:cstheme="minorHAnsi"/>
          <w:sz w:val="24"/>
          <w:szCs w:val="24"/>
        </w:rPr>
        <w:t xml:space="preserve">Indirect Interventions </w:t>
      </w:r>
    </w:p>
    <w:p w14:paraId="3BADEAE4" w14:textId="1835CD6D" w:rsidR="00FC4E43" w:rsidRPr="00F92330" w:rsidRDefault="00FC4E4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Organizers may carry out tenants’ rights information sessions to inform tenants of their rights under state law, and their options for organizing to defend these rights. </w:t>
      </w:r>
      <w:r w:rsidR="005B2952" w:rsidRPr="00F92330">
        <w:rPr>
          <w:rFonts w:eastAsia="Times New Roman" w:cstheme="minorHAnsi"/>
          <w:color w:val="000000"/>
          <w:sz w:val="24"/>
          <w:szCs w:val="24"/>
        </w:rPr>
        <w:t>Practitioners reported to me that tenants frequently found value in know-your-rights trainings and information sessions</w:t>
      </w:r>
      <w:r w:rsidRPr="00F92330">
        <w:rPr>
          <w:rFonts w:eastAsia="Times New Roman" w:cstheme="minorHAnsi"/>
          <w:color w:val="000000"/>
          <w:sz w:val="24"/>
          <w:szCs w:val="24"/>
        </w:rPr>
        <w:t>. Tenants who are aware of their rights and aware of interventions available are less likely face the eviction process, or to move when served a warrant of unlawful detainer (</w:t>
      </w:r>
      <w:r w:rsidR="00213711" w:rsidRPr="00F92330">
        <w:rPr>
          <w:rFonts w:eastAsia="Times New Roman" w:cstheme="minorHAnsi"/>
          <w:color w:val="000000"/>
          <w:sz w:val="24"/>
          <w:szCs w:val="24"/>
        </w:rPr>
        <w:t>Tsai et al, 2020</w:t>
      </w:r>
      <w:r w:rsidRPr="00F92330">
        <w:rPr>
          <w:rFonts w:eastAsia="Times New Roman" w:cstheme="minorHAnsi"/>
          <w:color w:val="000000"/>
          <w:sz w:val="24"/>
          <w:szCs w:val="24"/>
        </w:rPr>
        <w:t xml:space="preserve">). While </w:t>
      </w:r>
      <w:r w:rsidR="00297701" w:rsidRPr="00F92330">
        <w:rPr>
          <w:rFonts w:eastAsia="Times New Roman" w:cstheme="minorHAnsi"/>
          <w:color w:val="000000"/>
          <w:sz w:val="24"/>
          <w:szCs w:val="24"/>
        </w:rPr>
        <w:t xml:space="preserve">some </w:t>
      </w:r>
      <w:r w:rsidRPr="00F92330">
        <w:rPr>
          <w:rFonts w:eastAsia="Times New Roman" w:cstheme="minorHAnsi"/>
          <w:color w:val="000000"/>
          <w:sz w:val="24"/>
          <w:szCs w:val="24"/>
        </w:rPr>
        <w:t xml:space="preserve">limited evidence shows these information sessions </w:t>
      </w:r>
      <w:r w:rsidR="00297701" w:rsidRPr="00F92330">
        <w:rPr>
          <w:rFonts w:eastAsia="Times New Roman" w:cstheme="minorHAnsi"/>
          <w:color w:val="000000"/>
          <w:sz w:val="24"/>
          <w:szCs w:val="24"/>
        </w:rPr>
        <w:t>may</w:t>
      </w:r>
      <w:r w:rsidRPr="00F92330">
        <w:rPr>
          <w:rFonts w:eastAsia="Times New Roman" w:cstheme="minorHAnsi"/>
          <w:color w:val="000000"/>
          <w:sz w:val="24"/>
          <w:szCs w:val="24"/>
        </w:rPr>
        <w:t xml:space="preserve"> help tenants avoid or challenge evictions, they broadly fail to halt the traumatic event of eviction.</w:t>
      </w:r>
    </w:p>
    <w:p w14:paraId="4E38733F" w14:textId="4C22E84F" w:rsidR="00FC4E43" w:rsidRPr="00F92330" w:rsidRDefault="00FC4E43" w:rsidP="008420E0">
      <w:pPr>
        <w:spacing w:after="120" w:line="240" w:lineRule="auto"/>
        <w:rPr>
          <w:rFonts w:cstheme="minorHAnsi"/>
          <w:b/>
          <w:bCs/>
          <w:sz w:val="24"/>
          <w:szCs w:val="24"/>
        </w:rPr>
      </w:pPr>
      <w:r w:rsidRPr="00F92330">
        <w:rPr>
          <w:rFonts w:eastAsia="Times New Roman" w:cstheme="minorHAnsi"/>
          <w:color w:val="000000"/>
          <w:sz w:val="24"/>
          <w:szCs w:val="24"/>
        </w:rPr>
        <w:t xml:space="preserve">Debt assistance targets tenant finances before or when they enter periods of housing instability. In a systematic review of eviction intervention literature, 86 tenants out of </w:t>
      </w:r>
      <w:r w:rsidR="008719F0" w:rsidRPr="00F92330">
        <w:rPr>
          <w:rFonts w:eastAsia="Times New Roman" w:cstheme="minorHAnsi"/>
          <w:color w:val="000000"/>
          <w:sz w:val="24"/>
          <w:szCs w:val="24"/>
        </w:rPr>
        <w:t xml:space="preserve">179 </w:t>
      </w:r>
      <w:r w:rsidRPr="00F92330">
        <w:rPr>
          <w:rFonts w:eastAsia="Times New Roman" w:cstheme="minorHAnsi"/>
          <w:color w:val="000000"/>
          <w:sz w:val="24"/>
          <w:szCs w:val="24"/>
        </w:rPr>
        <w:t xml:space="preserve">respondents reported that they believed debt assistance helped them avoid eviction. Rental arrears among the study group decreased by 37% after referral to debt advice, in comparison to 14% in the group that did not receive advice. Per person, debt advice led to net benefit debt </w:t>
      </w:r>
      <w:r w:rsidRPr="00F92330">
        <w:rPr>
          <w:rFonts w:eastAsia="Times New Roman" w:cstheme="minorHAnsi"/>
          <w:color w:val="000000"/>
          <w:sz w:val="24"/>
          <w:szCs w:val="24"/>
        </w:rPr>
        <w:lastRenderedPageBreak/>
        <w:t xml:space="preserve">reduction of </w:t>
      </w:r>
      <w:r w:rsidRPr="00F92330">
        <w:rPr>
          <w:rFonts w:cstheme="minorHAnsi"/>
          <w:sz w:val="24"/>
          <w:szCs w:val="24"/>
        </w:rPr>
        <w:t>£239 per head (</w:t>
      </w:r>
      <w:r w:rsidR="0006783D" w:rsidRPr="00F92330">
        <w:rPr>
          <w:rFonts w:cstheme="minorHAnsi"/>
          <w:sz w:val="24"/>
          <w:szCs w:val="24"/>
        </w:rPr>
        <w:t>$</w:t>
      </w:r>
      <w:r w:rsidR="00BB4E52" w:rsidRPr="00F92330">
        <w:rPr>
          <w:rFonts w:cstheme="minorHAnsi"/>
          <w:sz w:val="24"/>
          <w:szCs w:val="24"/>
        </w:rPr>
        <w:t>262</w:t>
      </w:r>
      <w:r w:rsidR="0006783D" w:rsidRPr="00F92330">
        <w:rPr>
          <w:rFonts w:cstheme="minorHAnsi"/>
          <w:sz w:val="24"/>
          <w:szCs w:val="24"/>
        </w:rPr>
        <w:t xml:space="preserve"> per </w:t>
      </w:r>
      <w:r w:rsidR="00837A88" w:rsidRPr="00F92330">
        <w:rPr>
          <w:rFonts w:cstheme="minorHAnsi"/>
          <w:sz w:val="24"/>
          <w:szCs w:val="24"/>
        </w:rPr>
        <w:t xml:space="preserve">the </w:t>
      </w:r>
      <w:r w:rsidR="00BB4E52" w:rsidRPr="00F92330">
        <w:rPr>
          <w:rFonts w:cstheme="minorHAnsi"/>
          <w:sz w:val="24"/>
          <w:szCs w:val="24"/>
        </w:rPr>
        <w:t xml:space="preserve">2016 </w:t>
      </w:r>
      <w:r w:rsidR="00837A88" w:rsidRPr="00F92330">
        <w:rPr>
          <w:rFonts w:cstheme="minorHAnsi"/>
          <w:sz w:val="24"/>
          <w:szCs w:val="24"/>
        </w:rPr>
        <w:t>exchange rate</w:t>
      </w:r>
      <w:r w:rsidRPr="00F92330">
        <w:rPr>
          <w:rFonts w:cstheme="minorHAnsi"/>
          <w:sz w:val="24"/>
          <w:szCs w:val="24"/>
        </w:rPr>
        <w:t>), and the study determined that it was a cost-effective strategy (</w:t>
      </w:r>
      <w:r w:rsidR="00FF79DE" w:rsidRPr="00F92330">
        <w:rPr>
          <w:rFonts w:eastAsia="Times New Roman" w:cstheme="minorHAnsi"/>
          <w:color w:val="000000"/>
          <w:sz w:val="24"/>
          <w:szCs w:val="24"/>
        </w:rPr>
        <w:t>Holl et al, 2016</w:t>
      </w:r>
      <w:r w:rsidRPr="00F92330">
        <w:rPr>
          <w:rFonts w:cstheme="minorHAnsi"/>
          <w:sz w:val="24"/>
          <w:szCs w:val="24"/>
        </w:rPr>
        <w:t>)</w:t>
      </w:r>
      <w:r w:rsidR="00BB4E52" w:rsidRPr="00F92330">
        <w:rPr>
          <w:rFonts w:cstheme="minorHAnsi"/>
          <w:sz w:val="24"/>
          <w:szCs w:val="24"/>
        </w:rPr>
        <w:t>.</w:t>
      </w:r>
    </w:p>
    <w:p w14:paraId="49660F3D" w14:textId="48B53E4C" w:rsidR="00FC4E43" w:rsidRPr="00F92330" w:rsidRDefault="00297701" w:rsidP="008420E0">
      <w:pPr>
        <w:spacing w:after="120" w:line="240" w:lineRule="auto"/>
        <w:rPr>
          <w:rFonts w:cstheme="minorHAnsi"/>
          <w:sz w:val="24"/>
          <w:szCs w:val="24"/>
        </w:rPr>
      </w:pPr>
      <w:r w:rsidRPr="00F92330">
        <w:rPr>
          <w:rFonts w:cstheme="minorHAnsi"/>
          <w:sz w:val="24"/>
          <w:szCs w:val="24"/>
        </w:rPr>
        <w:t>D</w:t>
      </w:r>
      <w:r w:rsidR="00FC4E43" w:rsidRPr="00F92330">
        <w:rPr>
          <w:rFonts w:cstheme="minorHAnsi"/>
          <w:sz w:val="24"/>
          <w:szCs w:val="24"/>
        </w:rPr>
        <w:t xml:space="preserve">ebt advice and rent arrears reduction do not directly mitigate renters’ mental health issues that may later result in eviction. </w:t>
      </w:r>
      <w:r w:rsidRPr="00F92330">
        <w:rPr>
          <w:rFonts w:cstheme="minorHAnsi"/>
          <w:sz w:val="24"/>
          <w:szCs w:val="24"/>
        </w:rPr>
        <w:t>Debt advice offers no</w:t>
      </w:r>
      <w:r w:rsidR="00FC4E43" w:rsidRPr="00F92330">
        <w:rPr>
          <w:rFonts w:cstheme="minorHAnsi"/>
          <w:sz w:val="24"/>
          <w:szCs w:val="24"/>
        </w:rPr>
        <w:t xml:space="preserve"> preventative regulatory power to stop evictions and does not empower renters to challenge the eviction process. </w:t>
      </w:r>
      <w:r w:rsidRPr="00F92330">
        <w:rPr>
          <w:rFonts w:cstheme="minorHAnsi"/>
          <w:sz w:val="24"/>
          <w:szCs w:val="24"/>
        </w:rPr>
        <w:t xml:space="preserve">Reducing arrears may give tenants the ability to gain a better mediation position during the unlawful detainer </w:t>
      </w:r>
      <w:proofErr w:type="gramStart"/>
      <w:r w:rsidRPr="00F92330">
        <w:rPr>
          <w:rFonts w:cstheme="minorHAnsi"/>
          <w:sz w:val="24"/>
          <w:szCs w:val="24"/>
        </w:rPr>
        <w:t>process, but</w:t>
      </w:r>
      <w:proofErr w:type="gramEnd"/>
      <w:r w:rsidRPr="00F92330">
        <w:rPr>
          <w:rFonts w:cstheme="minorHAnsi"/>
          <w:sz w:val="24"/>
          <w:szCs w:val="24"/>
        </w:rPr>
        <w:t xml:space="preserve"> offers no </w:t>
      </w:r>
      <w:r w:rsidR="00837A88" w:rsidRPr="00F92330">
        <w:rPr>
          <w:rFonts w:cstheme="minorHAnsi"/>
          <w:sz w:val="24"/>
          <w:szCs w:val="24"/>
        </w:rPr>
        <w:t>guarantee</w:t>
      </w:r>
      <w:r w:rsidRPr="00F92330">
        <w:rPr>
          <w:rFonts w:cstheme="minorHAnsi"/>
          <w:sz w:val="24"/>
          <w:szCs w:val="24"/>
        </w:rPr>
        <w:t xml:space="preserve"> that the court will issue a favorable judgement for the tenant</w:t>
      </w:r>
      <w:r w:rsidR="00FC4E43" w:rsidRPr="00F92330">
        <w:rPr>
          <w:rFonts w:cstheme="minorHAnsi"/>
          <w:sz w:val="24"/>
          <w:szCs w:val="24"/>
        </w:rPr>
        <w:t xml:space="preserve">. </w:t>
      </w:r>
    </w:p>
    <w:p w14:paraId="6BB9D878" w14:textId="77777777" w:rsidR="00EA0E13" w:rsidRPr="00F92330" w:rsidRDefault="00EA0E13" w:rsidP="008420E0">
      <w:pPr>
        <w:spacing w:after="120" w:line="240" w:lineRule="auto"/>
        <w:rPr>
          <w:rFonts w:eastAsia="Times New Roman" w:cstheme="minorHAnsi"/>
          <w:color w:val="000000"/>
          <w:sz w:val="24"/>
          <w:szCs w:val="24"/>
        </w:rPr>
      </w:pPr>
    </w:p>
    <w:p w14:paraId="270FB5C3" w14:textId="61A05A23" w:rsidR="00070DD3" w:rsidRPr="00F92330" w:rsidRDefault="00070DD3" w:rsidP="008420E0">
      <w:pPr>
        <w:spacing w:after="120" w:line="240" w:lineRule="auto"/>
        <w:rPr>
          <w:rStyle w:val="IntenseReference"/>
          <w:rFonts w:cstheme="minorHAnsi"/>
          <w:sz w:val="24"/>
          <w:szCs w:val="24"/>
        </w:rPr>
      </w:pPr>
      <w:r w:rsidRPr="00F92330">
        <w:rPr>
          <w:rStyle w:val="IntenseReference"/>
          <w:rFonts w:cstheme="minorHAnsi"/>
          <w:sz w:val="24"/>
          <w:szCs w:val="24"/>
        </w:rPr>
        <w:t>Recommendation</w:t>
      </w:r>
      <w:r w:rsidR="007B7D7B" w:rsidRPr="00F92330">
        <w:rPr>
          <w:rStyle w:val="IntenseReference"/>
          <w:rFonts w:cstheme="minorHAnsi"/>
          <w:sz w:val="24"/>
          <w:szCs w:val="24"/>
        </w:rPr>
        <w:t>s</w:t>
      </w:r>
    </w:p>
    <w:p w14:paraId="060917C9" w14:textId="4DEE5234" w:rsidR="00070DD3" w:rsidRPr="00F92330" w:rsidRDefault="00070DD3" w:rsidP="008420E0">
      <w:pPr>
        <w:spacing w:after="120" w:line="240" w:lineRule="auto"/>
        <w:rPr>
          <w:rFonts w:cstheme="minorHAnsi"/>
          <w:sz w:val="24"/>
          <w:szCs w:val="24"/>
        </w:rPr>
      </w:pPr>
      <w:bookmarkStart w:id="13" w:name="_Hlk70514090"/>
      <w:r w:rsidRPr="00F92330">
        <w:rPr>
          <w:rFonts w:cstheme="minorHAnsi"/>
          <w:sz w:val="24"/>
          <w:szCs w:val="24"/>
        </w:rPr>
        <w:t xml:space="preserve">Several interventions must be employed simultaneously to have the type of broad impacts that California needs to mitigate housing issues and the mental health issues tied to them. I consider the most important intervention to be </w:t>
      </w:r>
      <w:r w:rsidR="004D3C5F" w:rsidRPr="00F92330">
        <w:rPr>
          <w:rFonts w:cstheme="minorHAnsi"/>
          <w:sz w:val="24"/>
          <w:szCs w:val="24"/>
        </w:rPr>
        <w:t>just-cause</w:t>
      </w:r>
      <w:r w:rsidRPr="00F92330">
        <w:rPr>
          <w:rFonts w:cstheme="minorHAnsi"/>
          <w:sz w:val="24"/>
          <w:szCs w:val="24"/>
        </w:rPr>
        <w:t xml:space="preserve"> eviction protections, which specifically slows down or halts the eviction process, often before it starts, thereby directly reducing instances of trauma and suicide.</w:t>
      </w:r>
      <w:bookmarkEnd w:id="13"/>
      <w:r w:rsidRPr="00F92330">
        <w:rPr>
          <w:rFonts w:cstheme="minorHAnsi"/>
          <w:sz w:val="24"/>
          <w:szCs w:val="24"/>
        </w:rPr>
        <w:t xml:space="preserve"> Creating greater controls for systematic housing stability such as a Housing Now approach or bolstering housing availability through policy tools will make direct interventions more effective. But evictions will still happen, and supportive housing has shown to be the most effective way to both continue the social safety net of housing availability and treat mental health issues for evicted persons.</w:t>
      </w:r>
    </w:p>
    <w:p w14:paraId="703A7B57" w14:textId="72B57859" w:rsidR="00070DD3" w:rsidRPr="00F92330" w:rsidRDefault="00070DD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Regardless of previous mental health issues, evictions create trauma, increase suicides, and trigger or exacerbate previously unseen mental health issues that persist for sometimes years after with derogatory effects on someone’s mental and physical wellbeing. Policymakers should consider making landlords more accountable for the evictions they file, giving tenants greater flexibility with timelines, and ensuring that tenants </w:t>
      </w:r>
      <w:proofErr w:type="gramStart"/>
      <w:r w:rsidRPr="00F92330">
        <w:rPr>
          <w:rFonts w:eastAsia="Times New Roman" w:cstheme="minorHAnsi"/>
          <w:color w:val="000000"/>
          <w:sz w:val="24"/>
          <w:szCs w:val="24"/>
        </w:rPr>
        <w:t>have the ability to</w:t>
      </w:r>
      <w:proofErr w:type="gramEnd"/>
      <w:r w:rsidRPr="00F92330">
        <w:rPr>
          <w:rFonts w:eastAsia="Times New Roman" w:cstheme="minorHAnsi"/>
          <w:color w:val="000000"/>
          <w:sz w:val="24"/>
          <w:szCs w:val="24"/>
        </w:rPr>
        <w:t xml:space="preserve"> defend themselves during the process. That package of </w:t>
      </w:r>
      <w:r w:rsidR="004D3C5F" w:rsidRPr="00F92330">
        <w:rPr>
          <w:rFonts w:eastAsia="Times New Roman" w:cstheme="minorHAnsi"/>
          <w:color w:val="000000"/>
          <w:sz w:val="24"/>
          <w:szCs w:val="24"/>
        </w:rPr>
        <w:t>just-cause</w:t>
      </w:r>
      <w:r w:rsidRPr="00F92330">
        <w:rPr>
          <w:rFonts w:eastAsia="Times New Roman" w:cstheme="minorHAnsi"/>
          <w:color w:val="000000"/>
          <w:sz w:val="24"/>
          <w:szCs w:val="24"/>
        </w:rPr>
        <w:t xml:space="preserve"> eviction protections will ensure that less tenants face eviction, less tenants </w:t>
      </w:r>
      <w:proofErr w:type="gramStart"/>
      <w:r w:rsidRPr="00F92330">
        <w:rPr>
          <w:rFonts w:eastAsia="Times New Roman" w:cstheme="minorHAnsi"/>
          <w:color w:val="000000"/>
          <w:sz w:val="24"/>
          <w:szCs w:val="24"/>
        </w:rPr>
        <w:t>get evicted</w:t>
      </w:r>
      <w:proofErr w:type="gramEnd"/>
      <w:r w:rsidRPr="00F92330">
        <w:rPr>
          <w:rFonts w:eastAsia="Times New Roman" w:cstheme="minorHAnsi"/>
          <w:color w:val="000000"/>
          <w:sz w:val="24"/>
          <w:szCs w:val="24"/>
        </w:rPr>
        <w:t xml:space="preserve"> during the process, and tenants feel like they have more support if they must engage in the process. The caveat of this alternative is that it does not address some of the root causes of why people get evicted, or why people suffer from a variety of mental health issues. Expanding </w:t>
      </w:r>
      <w:r w:rsidR="004D3C5F" w:rsidRPr="00F92330">
        <w:rPr>
          <w:rFonts w:eastAsia="Times New Roman" w:cstheme="minorHAnsi"/>
          <w:color w:val="000000"/>
          <w:sz w:val="24"/>
          <w:szCs w:val="24"/>
        </w:rPr>
        <w:t>just-cause</w:t>
      </w:r>
      <w:r w:rsidRPr="00F92330">
        <w:rPr>
          <w:rFonts w:eastAsia="Times New Roman" w:cstheme="minorHAnsi"/>
          <w:color w:val="000000"/>
          <w:sz w:val="24"/>
          <w:szCs w:val="24"/>
        </w:rPr>
        <w:t xml:space="preserve"> eviction protections does not necessarily target people with mental health issues.</w:t>
      </w:r>
    </w:p>
    <w:p w14:paraId="0FC203F9" w14:textId="3E3C9FD3" w:rsidR="00070DD3" w:rsidRPr="00F92330" w:rsidRDefault="00070DD3" w:rsidP="008420E0">
      <w:pPr>
        <w:spacing w:after="120" w:line="240" w:lineRule="auto"/>
        <w:rPr>
          <w:rFonts w:eastAsia="Times New Roman" w:cstheme="minorHAnsi"/>
          <w:color w:val="000000"/>
          <w:sz w:val="24"/>
          <w:szCs w:val="24"/>
        </w:rPr>
      </w:pPr>
      <w:r w:rsidRPr="00F92330">
        <w:rPr>
          <w:rFonts w:eastAsia="Times New Roman" w:cstheme="minorHAnsi"/>
          <w:color w:val="000000"/>
          <w:sz w:val="24"/>
          <w:szCs w:val="24"/>
        </w:rPr>
        <w:t xml:space="preserve">To treat the root causes of eviction and housing instability, policymakers should consider expanding supportive housing programs in the framework of Housing First approach rehousing efforts. Specifically, supportive housing for people who are housing instable is just as important as it is for people who have already </w:t>
      </w:r>
      <w:proofErr w:type="gramStart"/>
      <w:r w:rsidRPr="00F92330">
        <w:rPr>
          <w:rFonts w:eastAsia="Times New Roman" w:cstheme="minorHAnsi"/>
          <w:color w:val="000000"/>
          <w:sz w:val="24"/>
          <w:szCs w:val="24"/>
        </w:rPr>
        <w:t>been evicted</w:t>
      </w:r>
      <w:proofErr w:type="gramEnd"/>
      <w:r w:rsidRPr="00F92330">
        <w:rPr>
          <w:rFonts w:eastAsia="Times New Roman" w:cstheme="minorHAnsi"/>
          <w:color w:val="000000"/>
          <w:sz w:val="24"/>
          <w:szCs w:val="24"/>
        </w:rPr>
        <w:t xml:space="preserve"> or who are homeless. Pairing these services with broader wraparound mental health services targeted at low income and housing instable people may reduce instances of eviction significantly and increase long-term housing stability.</w:t>
      </w:r>
      <w:r w:rsidRPr="00F92330">
        <w:rPr>
          <w:rFonts w:eastAsia="Times New Roman" w:cstheme="minorHAnsi"/>
          <w:color w:val="000000"/>
          <w:sz w:val="24"/>
          <w:szCs w:val="24"/>
        </w:rPr>
        <w:br w:type="page"/>
      </w:r>
    </w:p>
    <w:p w14:paraId="211F123E" w14:textId="663A6F5E" w:rsidR="00070DD3" w:rsidRPr="00F92330" w:rsidRDefault="00CD4559" w:rsidP="008420E0">
      <w:pPr>
        <w:spacing w:after="120" w:line="240" w:lineRule="auto"/>
        <w:rPr>
          <w:rStyle w:val="IntenseReference"/>
          <w:rFonts w:cstheme="minorHAnsi"/>
          <w:sz w:val="24"/>
          <w:szCs w:val="24"/>
        </w:rPr>
      </w:pPr>
      <w:r w:rsidRPr="00F92330">
        <w:rPr>
          <w:rStyle w:val="IntenseReference"/>
          <w:rFonts w:cstheme="minorHAnsi"/>
          <w:sz w:val="24"/>
          <w:szCs w:val="24"/>
        </w:rPr>
        <w:lastRenderedPageBreak/>
        <w:t>References</w:t>
      </w:r>
    </w:p>
    <w:p w14:paraId="486DFC11" w14:textId="733F6FFD" w:rsidR="00762B40" w:rsidRPr="00F92330" w:rsidRDefault="00762B40" w:rsidP="008420E0">
      <w:pPr>
        <w:spacing w:after="240" w:line="240" w:lineRule="auto"/>
        <w:rPr>
          <w:rFonts w:cstheme="minorHAnsi"/>
          <w:sz w:val="24"/>
          <w:szCs w:val="24"/>
        </w:rPr>
      </w:pPr>
      <w:r w:rsidRPr="00F92330">
        <w:rPr>
          <w:rFonts w:cstheme="minorHAnsi"/>
          <w:sz w:val="24"/>
          <w:szCs w:val="24"/>
        </w:rPr>
        <w:t>Abrams, Z. (2020). As COVID-19 cases increase, so does trauma among health providers. American Psychiatric Association. https://www.apa.org/topics/covid-19/trauma-health-providers</w:t>
      </w:r>
      <w:r w:rsidR="00237572">
        <w:rPr>
          <w:rFonts w:cstheme="minorHAnsi"/>
          <w:sz w:val="24"/>
          <w:szCs w:val="24"/>
        </w:rPr>
        <w:t>.</w:t>
      </w:r>
    </w:p>
    <w:p w14:paraId="3E6BEE6B" w14:textId="6DD3FEEE" w:rsidR="00762B40" w:rsidRPr="00F92330" w:rsidRDefault="00762B40" w:rsidP="008420E0">
      <w:pPr>
        <w:spacing w:after="240" w:line="240" w:lineRule="auto"/>
        <w:rPr>
          <w:rFonts w:eastAsia="Times New Roman" w:cstheme="minorHAnsi"/>
          <w:sz w:val="24"/>
          <w:szCs w:val="24"/>
        </w:rPr>
      </w:pPr>
      <w:r w:rsidRPr="00F92330">
        <w:rPr>
          <w:rFonts w:eastAsia="Times New Roman" w:cstheme="minorHAnsi"/>
          <w:sz w:val="24"/>
          <w:szCs w:val="24"/>
        </w:rPr>
        <w:t xml:space="preserve">Balint, N. (2018). Which States Have the Best and Worst Laws for Renters? </w:t>
      </w:r>
      <w:proofErr w:type="spellStart"/>
      <w:r w:rsidRPr="00F92330">
        <w:rPr>
          <w:rFonts w:eastAsia="Times New Roman" w:cstheme="minorHAnsi"/>
          <w:i/>
          <w:sz w:val="24"/>
          <w:szCs w:val="24"/>
        </w:rPr>
        <w:t>RentCafe</w:t>
      </w:r>
      <w:proofErr w:type="spellEnd"/>
      <w:r w:rsidRPr="00F92330">
        <w:rPr>
          <w:rFonts w:eastAsia="Times New Roman" w:cstheme="minorHAnsi"/>
          <w:i/>
          <w:sz w:val="24"/>
          <w:szCs w:val="24"/>
        </w:rPr>
        <w:t xml:space="preserve"> Blog. </w:t>
      </w:r>
      <w:r w:rsidRPr="00F92330">
        <w:rPr>
          <w:rFonts w:eastAsia="Times New Roman" w:cstheme="minorHAnsi"/>
          <w:sz w:val="24"/>
          <w:szCs w:val="24"/>
        </w:rPr>
        <w:t>Retrieved from: https://www.rentcafe.com/blog/renting/states-best-worst-laws-renters/</w:t>
      </w:r>
      <w:r w:rsidR="00237572">
        <w:rPr>
          <w:rFonts w:eastAsia="Times New Roman" w:cstheme="minorHAnsi"/>
          <w:sz w:val="24"/>
          <w:szCs w:val="24"/>
        </w:rPr>
        <w:t>.</w:t>
      </w:r>
    </w:p>
    <w:p w14:paraId="4DA65B55" w14:textId="2783294C" w:rsidR="00762B40" w:rsidRPr="00F92330" w:rsidRDefault="00762B40" w:rsidP="008420E0">
      <w:pPr>
        <w:spacing w:after="240" w:line="240" w:lineRule="auto"/>
        <w:rPr>
          <w:rFonts w:eastAsia="Times New Roman" w:cstheme="minorHAnsi"/>
          <w:b/>
          <w:bCs/>
          <w:color w:val="000000"/>
          <w:sz w:val="24"/>
          <w:szCs w:val="24"/>
        </w:rPr>
      </w:pPr>
      <w:proofErr w:type="spellStart"/>
      <w:r w:rsidRPr="00F92330">
        <w:rPr>
          <w:rFonts w:cstheme="minorHAnsi"/>
          <w:color w:val="212121"/>
          <w:sz w:val="24"/>
          <w:szCs w:val="24"/>
          <w:shd w:val="clear" w:color="auto" w:fill="FFFFFF"/>
        </w:rPr>
        <w:t>Bassuk</w:t>
      </w:r>
      <w:proofErr w:type="spellEnd"/>
      <w:r w:rsidRPr="00F92330">
        <w:rPr>
          <w:rFonts w:cstheme="minorHAnsi"/>
          <w:color w:val="212121"/>
          <w:sz w:val="24"/>
          <w:szCs w:val="24"/>
          <w:shd w:val="clear" w:color="auto" w:fill="FFFFFF"/>
        </w:rPr>
        <w:t xml:space="preserve"> E, </w:t>
      </w:r>
      <w:proofErr w:type="spellStart"/>
      <w:r w:rsidRPr="00F92330">
        <w:rPr>
          <w:rFonts w:cstheme="minorHAnsi"/>
          <w:color w:val="212121"/>
          <w:sz w:val="24"/>
          <w:szCs w:val="24"/>
          <w:shd w:val="clear" w:color="auto" w:fill="FFFFFF"/>
        </w:rPr>
        <w:t>DeCandia</w:t>
      </w:r>
      <w:proofErr w:type="spellEnd"/>
      <w:r w:rsidRPr="00F92330">
        <w:rPr>
          <w:rFonts w:cstheme="minorHAnsi"/>
          <w:color w:val="212121"/>
          <w:sz w:val="24"/>
          <w:szCs w:val="24"/>
          <w:shd w:val="clear" w:color="auto" w:fill="FFFFFF"/>
        </w:rPr>
        <w:t xml:space="preserve"> C, </w:t>
      </w:r>
      <w:proofErr w:type="spellStart"/>
      <w:r w:rsidRPr="00F92330">
        <w:rPr>
          <w:rFonts w:cstheme="minorHAnsi"/>
          <w:color w:val="212121"/>
          <w:sz w:val="24"/>
          <w:szCs w:val="24"/>
          <w:shd w:val="clear" w:color="auto" w:fill="FFFFFF"/>
        </w:rPr>
        <w:t>Tsertsvadze</w:t>
      </w:r>
      <w:proofErr w:type="spellEnd"/>
      <w:r w:rsidRPr="00F92330">
        <w:rPr>
          <w:rFonts w:cstheme="minorHAnsi"/>
          <w:color w:val="212121"/>
          <w:sz w:val="24"/>
          <w:szCs w:val="24"/>
          <w:shd w:val="clear" w:color="auto" w:fill="FFFFFF"/>
        </w:rPr>
        <w:t xml:space="preserve"> A, Richard M. The effectiveness of housing interventions and housing and service interventions on ending family homelessness: a systematic review. Am J Orthopsychiatry. 2014 Sep;84(5):457-74. </w:t>
      </w:r>
      <w:proofErr w:type="spellStart"/>
      <w:r w:rsidRPr="00F92330">
        <w:rPr>
          <w:rFonts w:cstheme="minorHAnsi"/>
          <w:color w:val="212121"/>
          <w:sz w:val="24"/>
          <w:szCs w:val="24"/>
          <w:shd w:val="clear" w:color="auto" w:fill="FFFFFF"/>
        </w:rPr>
        <w:t>doi</w:t>
      </w:r>
      <w:proofErr w:type="spellEnd"/>
      <w:r w:rsidRPr="00F92330">
        <w:rPr>
          <w:rFonts w:cstheme="minorHAnsi"/>
          <w:color w:val="212121"/>
          <w:sz w:val="24"/>
          <w:szCs w:val="24"/>
          <w:shd w:val="clear" w:color="auto" w:fill="FFFFFF"/>
        </w:rPr>
        <w:t>: 10.1037/ort0000020. PMID: 25265216</w:t>
      </w:r>
      <w:r w:rsidR="00237572">
        <w:rPr>
          <w:rFonts w:cstheme="minorHAnsi"/>
          <w:color w:val="212121"/>
          <w:sz w:val="24"/>
          <w:szCs w:val="24"/>
          <w:shd w:val="clear" w:color="auto" w:fill="FFFFFF"/>
        </w:rPr>
        <w:t>.</w:t>
      </w:r>
    </w:p>
    <w:p w14:paraId="020AAB44" w14:textId="31DA873E" w:rsidR="00762B40" w:rsidRPr="00F92330" w:rsidRDefault="00762B40" w:rsidP="008420E0">
      <w:pPr>
        <w:spacing w:after="240" w:line="240" w:lineRule="auto"/>
        <w:rPr>
          <w:rFonts w:cstheme="minorHAnsi"/>
          <w:color w:val="212121"/>
          <w:sz w:val="24"/>
          <w:szCs w:val="24"/>
          <w:shd w:val="clear" w:color="auto" w:fill="FFFFFF"/>
        </w:rPr>
      </w:pPr>
      <w:r w:rsidRPr="00F92330">
        <w:rPr>
          <w:rFonts w:cstheme="minorHAnsi"/>
          <w:color w:val="212121"/>
          <w:sz w:val="24"/>
          <w:szCs w:val="24"/>
          <w:shd w:val="clear" w:color="auto" w:fill="FFFFFF"/>
        </w:rPr>
        <w:t>Brucker, D. L., &amp; Helms, V. (2019). Health, Health Behaviors, and Health Care Utilization Among Adults with Serious Psychological Distress Who Receive Federal Housing Assistance. </w:t>
      </w:r>
      <w:r w:rsidRPr="00F92330">
        <w:rPr>
          <w:rFonts w:cstheme="minorHAnsi"/>
          <w:i/>
          <w:iCs/>
          <w:color w:val="212121"/>
          <w:sz w:val="24"/>
          <w:szCs w:val="24"/>
          <w:shd w:val="clear" w:color="auto" w:fill="FFFFFF"/>
        </w:rPr>
        <w:t>The journal of behavioral health services &amp; research</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46</w:t>
      </w:r>
      <w:r w:rsidRPr="00F92330">
        <w:rPr>
          <w:rFonts w:cstheme="minorHAnsi"/>
          <w:color w:val="212121"/>
          <w:sz w:val="24"/>
          <w:szCs w:val="24"/>
          <w:shd w:val="clear" w:color="auto" w:fill="FFFFFF"/>
        </w:rPr>
        <w:t>(4), 586–606. https://doi.org/10.1007/s11414-018-09647-z</w:t>
      </w:r>
      <w:r w:rsidR="00237572">
        <w:rPr>
          <w:rFonts w:cstheme="minorHAnsi"/>
          <w:color w:val="212121"/>
          <w:sz w:val="24"/>
          <w:szCs w:val="24"/>
          <w:shd w:val="clear" w:color="auto" w:fill="FFFFFF"/>
        </w:rPr>
        <w:t>.</w:t>
      </w:r>
    </w:p>
    <w:p w14:paraId="692C1E40" w14:textId="06A638B7" w:rsidR="00762B40" w:rsidRPr="00F92330" w:rsidRDefault="00762B40" w:rsidP="008420E0">
      <w:pPr>
        <w:spacing w:after="240" w:line="240" w:lineRule="auto"/>
        <w:rPr>
          <w:rFonts w:cstheme="minorHAnsi"/>
          <w:sz w:val="24"/>
          <w:szCs w:val="24"/>
        </w:rPr>
      </w:pPr>
      <w:proofErr w:type="spellStart"/>
      <w:r w:rsidRPr="00F92330">
        <w:rPr>
          <w:rFonts w:cstheme="minorHAnsi"/>
          <w:sz w:val="24"/>
          <w:szCs w:val="24"/>
        </w:rPr>
        <w:t>CalTenantLaw</w:t>
      </w:r>
      <w:proofErr w:type="spellEnd"/>
      <w:r w:rsidRPr="00F92330">
        <w:rPr>
          <w:rFonts w:cstheme="minorHAnsi"/>
          <w:sz w:val="24"/>
          <w:szCs w:val="24"/>
        </w:rPr>
        <w:t>. (2021). California 2020 Rent Control / Eviction Protection Law. California Tenant Law. https://caltenantlaw.com/california-2020-rent-control-eviction-law/#:%7E:text=and%20Rent%20Control.-,Just%20Cause%20Eviction,It%20is%20Civil%20Code%201946.2</w:t>
      </w:r>
      <w:r w:rsidR="00237572">
        <w:rPr>
          <w:rFonts w:cstheme="minorHAnsi"/>
          <w:sz w:val="24"/>
          <w:szCs w:val="24"/>
        </w:rPr>
        <w:t>.</w:t>
      </w:r>
    </w:p>
    <w:p w14:paraId="5C917E33" w14:textId="0DF4E29C" w:rsidR="00762B40" w:rsidRPr="00F92330" w:rsidRDefault="00762B40" w:rsidP="008420E0">
      <w:pPr>
        <w:spacing w:after="240" w:line="240" w:lineRule="auto"/>
        <w:rPr>
          <w:rFonts w:cstheme="minorHAnsi"/>
          <w:sz w:val="24"/>
          <w:szCs w:val="24"/>
        </w:rPr>
      </w:pPr>
      <w:r w:rsidRPr="00F92330">
        <w:rPr>
          <w:rFonts w:cstheme="minorHAnsi"/>
          <w:sz w:val="24"/>
          <w:szCs w:val="24"/>
        </w:rPr>
        <w:t>Choi, J. H., &amp;amp; Goodman, L. (2020). Mounting Pressures on Mom-and-Pop Landlords Could Spell Trouble for the Affordable Rental Market. Urban Institute. https://www.urban.org/urban-wire/mounting-pressures-mom-and-pop-landlords-could-spell-trouble-affordable-rental-market</w:t>
      </w:r>
      <w:r w:rsidR="00237572">
        <w:rPr>
          <w:rFonts w:cstheme="minorHAnsi"/>
          <w:sz w:val="24"/>
          <w:szCs w:val="24"/>
        </w:rPr>
        <w:t>.</w:t>
      </w:r>
    </w:p>
    <w:p w14:paraId="2FD6B6CA" w14:textId="76BBE32A" w:rsidR="00762B40" w:rsidRPr="00F92330" w:rsidRDefault="00762B40" w:rsidP="008420E0">
      <w:pPr>
        <w:spacing w:after="240" w:line="240" w:lineRule="auto"/>
        <w:rPr>
          <w:rFonts w:cstheme="minorHAnsi"/>
          <w:sz w:val="24"/>
          <w:szCs w:val="24"/>
        </w:rPr>
      </w:pPr>
      <w:proofErr w:type="spellStart"/>
      <w:r w:rsidRPr="00F92330">
        <w:rPr>
          <w:rFonts w:cstheme="minorHAnsi"/>
          <w:sz w:val="24"/>
          <w:szCs w:val="24"/>
        </w:rPr>
        <w:t>Coldiron</w:t>
      </w:r>
      <w:proofErr w:type="spellEnd"/>
      <w:r w:rsidRPr="00F92330">
        <w:rPr>
          <w:rFonts w:cstheme="minorHAnsi"/>
          <w:sz w:val="24"/>
          <w:szCs w:val="24"/>
        </w:rPr>
        <w:t xml:space="preserve">, J. S., Hensley, S. W., </w:t>
      </w:r>
      <w:proofErr w:type="spellStart"/>
      <w:r w:rsidRPr="00F92330">
        <w:rPr>
          <w:rFonts w:cstheme="minorHAnsi"/>
          <w:sz w:val="24"/>
          <w:szCs w:val="24"/>
        </w:rPr>
        <w:t>Parigoris</w:t>
      </w:r>
      <w:proofErr w:type="spellEnd"/>
      <w:r w:rsidRPr="00F92330">
        <w:rPr>
          <w:rFonts w:cstheme="minorHAnsi"/>
          <w:sz w:val="24"/>
          <w:szCs w:val="24"/>
        </w:rPr>
        <w:t>, R. M., &amp; Bruns, E. J. (2019). Randomized Control Trial Findings of a Wraparound Program for Dually Involved Youth. Journal of Emotional and Behavioral Disorders, 27(4), 195–208. https://doi.org/10.1177/1063426619861074</w:t>
      </w:r>
      <w:r w:rsidR="00237572">
        <w:rPr>
          <w:rFonts w:cstheme="minorHAnsi"/>
          <w:sz w:val="24"/>
          <w:szCs w:val="24"/>
        </w:rPr>
        <w:t>.</w:t>
      </w:r>
    </w:p>
    <w:p w14:paraId="19FAD3DC" w14:textId="20151C71" w:rsidR="00762B40" w:rsidRPr="00F92330" w:rsidRDefault="00762B40" w:rsidP="008420E0">
      <w:pPr>
        <w:spacing w:after="240" w:line="240" w:lineRule="auto"/>
        <w:rPr>
          <w:rFonts w:cstheme="minorHAnsi"/>
          <w:sz w:val="24"/>
          <w:szCs w:val="24"/>
        </w:rPr>
      </w:pPr>
      <w:r w:rsidRPr="00F92330">
        <w:rPr>
          <w:rFonts w:cstheme="minorHAnsi"/>
          <w:sz w:val="24"/>
          <w:szCs w:val="24"/>
        </w:rPr>
        <w:t>Coronavirus Impacts on California’s Housing Market. (2021). California Association of Realtors. https://www.car.org/en/knowledge/pubs/newsletters/Newsline/Coronavirus</w:t>
      </w:r>
      <w:r w:rsidR="00237572">
        <w:rPr>
          <w:rFonts w:cstheme="minorHAnsi"/>
          <w:sz w:val="24"/>
          <w:szCs w:val="24"/>
        </w:rPr>
        <w:t>.</w:t>
      </w:r>
    </w:p>
    <w:p w14:paraId="469E70E5" w14:textId="6E2F1A69" w:rsidR="00762B40" w:rsidRPr="00F92330" w:rsidRDefault="00762B40" w:rsidP="008420E0">
      <w:pPr>
        <w:spacing w:after="240" w:line="240" w:lineRule="auto"/>
        <w:rPr>
          <w:rFonts w:cstheme="minorHAnsi"/>
          <w:sz w:val="24"/>
          <w:szCs w:val="24"/>
        </w:rPr>
      </w:pPr>
      <w:r w:rsidRPr="00F92330">
        <w:rPr>
          <w:rFonts w:cstheme="minorHAnsi"/>
          <w:sz w:val="24"/>
          <w:szCs w:val="24"/>
        </w:rPr>
        <w:t>Crane, M &amp; Warnes, A. (2000). Evictions and Prolonged Homelessness. Housing Studies - HOUSING STUD. 15. 757-773. 10.1080/02673030050134592</w:t>
      </w:r>
      <w:r w:rsidR="00237572">
        <w:rPr>
          <w:rFonts w:cstheme="minorHAnsi"/>
          <w:sz w:val="24"/>
          <w:szCs w:val="24"/>
        </w:rPr>
        <w:t>.</w:t>
      </w:r>
    </w:p>
    <w:p w14:paraId="475DD017" w14:textId="306D5A54" w:rsidR="00762B40" w:rsidRPr="00F92330" w:rsidRDefault="00762B40" w:rsidP="008420E0">
      <w:pPr>
        <w:spacing w:after="240" w:line="240" w:lineRule="auto"/>
        <w:rPr>
          <w:rFonts w:cstheme="minorHAnsi"/>
          <w:sz w:val="24"/>
          <w:szCs w:val="24"/>
        </w:rPr>
      </w:pPr>
      <w:r w:rsidRPr="00F92330">
        <w:rPr>
          <w:rFonts w:cstheme="minorHAnsi"/>
          <w:sz w:val="24"/>
          <w:szCs w:val="24"/>
        </w:rPr>
        <w:t xml:space="preserve">Cunningham, M. K., &amp; </w:t>
      </w:r>
      <w:proofErr w:type="spellStart"/>
      <w:r w:rsidRPr="00F92330">
        <w:rPr>
          <w:rFonts w:cstheme="minorHAnsi"/>
          <w:sz w:val="24"/>
          <w:szCs w:val="24"/>
        </w:rPr>
        <w:t>Batko</w:t>
      </w:r>
      <w:proofErr w:type="spellEnd"/>
      <w:r w:rsidRPr="00F92330">
        <w:rPr>
          <w:rFonts w:cstheme="minorHAnsi"/>
          <w:sz w:val="24"/>
          <w:szCs w:val="24"/>
        </w:rPr>
        <w:t>, S. (2018). Rapid Re-housing’s Role in Responding to Homelessness. Urban Institute. https://www.urban.org/research/publication/rapid-re-housings-role-responding-homelessness</w:t>
      </w:r>
      <w:r w:rsidR="00237572">
        <w:rPr>
          <w:rFonts w:cstheme="minorHAnsi"/>
          <w:sz w:val="24"/>
          <w:szCs w:val="24"/>
        </w:rPr>
        <w:t>.</w:t>
      </w:r>
    </w:p>
    <w:p w14:paraId="7504E675" w14:textId="22A1B36E" w:rsidR="00762B40" w:rsidRPr="00F92330" w:rsidRDefault="00762B40" w:rsidP="008420E0">
      <w:pPr>
        <w:spacing w:after="240" w:line="240" w:lineRule="auto"/>
        <w:rPr>
          <w:rFonts w:cstheme="minorHAnsi"/>
          <w:sz w:val="24"/>
          <w:szCs w:val="24"/>
        </w:rPr>
      </w:pPr>
      <w:proofErr w:type="spellStart"/>
      <w:r w:rsidRPr="00F92330">
        <w:rPr>
          <w:rFonts w:cstheme="minorHAnsi"/>
          <w:color w:val="212121"/>
          <w:sz w:val="24"/>
          <w:szCs w:val="24"/>
          <w:shd w:val="clear" w:color="auto" w:fill="FFFFFF"/>
        </w:rPr>
        <w:t>Czeisler</w:t>
      </w:r>
      <w:proofErr w:type="spellEnd"/>
      <w:r w:rsidRPr="00F92330">
        <w:rPr>
          <w:rFonts w:cstheme="minorHAnsi"/>
          <w:color w:val="212121"/>
          <w:sz w:val="24"/>
          <w:szCs w:val="24"/>
          <w:shd w:val="clear" w:color="auto" w:fill="FFFFFF"/>
        </w:rPr>
        <w:t xml:space="preserve"> MÉ, Lane RI, </w:t>
      </w:r>
      <w:proofErr w:type="spellStart"/>
      <w:r w:rsidRPr="00F92330">
        <w:rPr>
          <w:rFonts w:cstheme="minorHAnsi"/>
          <w:color w:val="212121"/>
          <w:sz w:val="24"/>
          <w:szCs w:val="24"/>
          <w:shd w:val="clear" w:color="auto" w:fill="FFFFFF"/>
        </w:rPr>
        <w:t>Petrosky</w:t>
      </w:r>
      <w:proofErr w:type="spellEnd"/>
      <w:r w:rsidRPr="00F92330">
        <w:rPr>
          <w:rFonts w:cstheme="minorHAnsi"/>
          <w:color w:val="212121"/>
          <w:sz w:val="24"/>
          <w:szCs w:val="24"/>
          <w:shd w:val="clear" w:color="auto" w:fill="FFFFFF"/>
        </w:rPr>
        <w:t xml:space="preserve"> E, Wiley JF, Christensen A, </w:t>
      </w:r>
      <w:proofErr w:type="spellStart"/>
      <w:r w:rsidRPr="00F92330">
        <w:rPr>
          <w:rFonts w:cstheme="minorHAnsi"/>
          <w:color w:val="212121"/>
          <w:sz w:val="24"/>
          <w:szCs w:val="24"/>
          <w:shd w:val="clear" w:color="auto" w:fill="FFFFFF"/>
        </w:rPr>
        <w:t>Njai</w:t>
      </w:r>
      <w:proofErr w:type="spellEnd"/>
      <w:r w:rsidRPr="00F92330">
        <w:rPr>
          <w:rFonts w:cstheme="minorHAnsi"/>
          <w:color w:val="212121"/>
          <w:sz w:val="24"/>
          <w:szCs w:val="24"/>
          <w:shd w:val="clear" w:color="auto" w:fill="FFFFFF"/>
        </w:rPr>
        <w:t xml:space="preserve"> R, Weaver MD, Robbins R, Facer-Childs ER, Barger LK, </w:t>
      </w:r>
      <w:proofErr w:type="spellStart"/>
      <w:r w:rsidRPr="00F92330">
        <w:rPr>
          <w:rFonts w:cstheme="minorHAnsi"/>
          <w:color w:val="212121"/>
          <w:sz w:val="24"/>
          <w:szCs w:val="24"/>
          <w:shd w:val="clear" w:color="auto" w:fill="FFFFFF"/>
        </w:rPr>
        <w:t>Czeisler</w:t>
      </w:r>
      <w:proofErr w:type="spellEnd"/>
      <w:r w:rsidRPr="00F92330">
        <w:rPr>
          <w:rFonts w:cstheme="minorHAnsi"/>
          <w:color w:val="212121"/>
          <w:sz w:val="24"/>
          <w:szCs w:val="24"/>
          <w:shd w:val="clear" w:color="auto" w:fill="FFFFFF"/>
        </w:rPr>
        <w:t xml:space="preserve"> CA, Howard ME, Rajaratnam SMW.</w:t>
      </w:r>
      <w:r w:rsidR="00A75E2B" w:rsidRPr="00F92330">
        <w:rPr>
          <w:rFonts w:cstheme="minorHAnsi"/>
          <w:color w:val="212121"/>
          <w:sz w:val="24"/>
          <w:szCs w:val="24"/>
          <w:shd w:val="clear" w:color="auto" w:fill="FFFFFF"/>
        </w:rPr>
        <w:t xml:space="preserve"> (2020).</w:t>
      </w:r>
      <w:r w:rsidRPr="00F92330">
        <w:rPr>
          <w:rFonts w:cstheme="minorHAnsi"/>
          <w:color w:val="212121"/>
          <w:sz w:val="24"/>
          <w:szCs w:val="24"/>
          <w:shd w:val="clear" w:color="auto" w:fill="FFFFFF"/>
        </w:rPr>
        <w:t xml:space="preserve"> Mental Health, Substance Use, and Suicidal Ideation During the COVID-19 Pandemic - United States, June 24-30, 2020. MMWR </w:t>
      </w:r>
      <w:proofErr w:type="spellStart"/>
      <w:r w:rsidRPr="00F92330">
        <w:rPr>
          <w:rFonts w:cstheme="minorHAnsi"/>
          <w:color w:val="212121"/>
          <w:sz w:val="24"/>
          <w:szCs w:val="24"/>
          <w:shd w:val="clear" w:color="auto" w:fill="FFFFFF"/>
        </w:rPr>
        <w:t>Morb</w:t>
      </w:r>
      <w:proofErr w:type="spellEnd"/>
      <w:r w:rsidRPr="00F92330">
        <w:rPr>
          <w:rFonts w:cstheme="minorHAnsi"/>
          <w:color w:val="212121"/>
          <w:sz w:val="24"/>
          <w:szCs w:val="24"/>
          <w:shd w:val="clear" w:color="auto" w:fill="FFFFFF"/>
        </w:rPr>
        <w:t xml:space="preserve"> Mortal </w:t>
      </w:r>
      <w:proofErr w:type="spellStart"/>
      <w:r w:rsidRPr="00F92330">
        <w:rPr>
          <w:rFonts w:cstheme="minorHAnsi"/>
          <w:color w:val="212121"/>
          <w:sz w:val="24"/>
          <w:szCs w:val="24"/>
          <w:shd w:val="clear" w:color="auto" w:fill="FFFFFF"/>
        </w:rPr>
        <w:t>Wkly</w:t>
      </w:r>
      <w:proofErr w:type="spellEnd"/>
      <w:r w:rsidRPr="00F92330">
        <w:rPr>
          <w:rFonts w:cstheme="minorHAnsi"/>
          <w:color w:val="212121"/>
          <w:sz w:val="24"/>
          <w:szCs w:val="24"/>
          <w:shd w:val="clear" w:color="auto" w:fill="FFFFFF"/>
        </w:rPr>
        <w:t xml:space="preserve"> Rep. 69(32):1049-1057. </w:t>
      </w:r>
      <w:proofErr w:type="spellStart"/>
      <w:r w:rsidRPr="00F92330">
        <w:rPr>
          <w:rFonts w:cstheme="minorHAnsi"/>
          <w:color w:val="212121"/>
          <w:sz w:val="24"/>
          <w:szCs w:val="24"/>
          <w:shd w:val="clear" w:color="auto" w:fill="FFFFFF"/>
        </w:rPr>
        <w:t>doi</w:t>
      </w:r>
      <w:proofErr w:type="spellEnd"/>
      <w:r w:rsidRPr="00F92330">
        <w:rPr>
          <w:rFonts w:cstheme="minorHAnsi"/>
          <w:color w:val="212121"/>
          <w:sz w:val="24"/>
          <w:szCs w:val="24"/>
          <w:shd w:val="clear" w:color="auto" w:fill="FFFFFF"/>
        </w:rPr>
        <w:t>: 10.15585/mmwr.mm6932a1</w:t>
      </w:r>
      <w:r w:rsidR="00237572">
        <w:rPr>
          <w:rFonts w:cstheme="minorHAnsi"/>
          <w:color w:val="212121"/>
          <w:sz w:val="24"/>
          <w:szCs w:val="24"/>
          <w:shd w:val="clear" w:color="auto" w:fill="FFFFFF"/>
        </w:rPr>
        <w:t>.</w:t>
      </w:r>
    </w:p>
    <w:p w14:paraId="580A0A1E" w14:textId="64761F75" w:rsidR="00762B40" w:rsidRPr="00F92330" w:rsidRDefault="00762B40" w:rsidP="008420E0">
      <w:pPr>
        <w:spacing w:after="240" w:line="240" w:lineRule="auto"/>
        <w:rPr>
          <w:rFonts w:cstheme="minorHAnsi"/>
          <w:color w:val="006FB7"/>
          <w:sz w:val="24"/>
          <w:szCs w:val="24"/>
          <w:u w:val="single"/>
          <w:bdr w:val="none" w:sz="0" w:space="0" w:color="auto" w:frame="1"/>
          <w:shd w:val="clear" w:color="auto" w:fill="FFFFFF"/>
        </w:rPr>
      </w:pPr>
      <w:r w:rsidRPr="00F92330">
        <w:rPr>
          <w:rFonts w:cstheme="minorHAnsi"/>
          <w:color w:val="2A2A2A"/>
          <w:sz w:val="24"/>
          <w:szCs w:val="24"/>
          <w:shd w:val="clear" w:color="auto" w:fill="FFFFFF"/>
        </w:rPr>
        <w:lastRenderedPageBreak/>
        <w:t>Desmond et al, 2015: Matthew Desmond, Rachel Tolbert Kimbro, Eviction's Fallout: Housing, Hardship, and Health, </w:t>
      </w:r>
      <w:r w:rsidRPr="00F92330">
        <w:rPr>
          <w:rFonts w:cstheme="minorHAnsi"/>
          <w:i/>
          <w:iCs/>
          <w:color w:val="2A2A2A"/>
          <w:sz w:val="24"/>
          <w:szCs w:val="24"/>
          <w:bdr w:val="none" w:sz="0" w:space="0" w:color="auto" w:frame="1"/>
          <w:shd w:val="clear" w:color="auto" w:fill="FFFFFF"/>
        </w:rPr>
        <w:t>Social Forces</w:t>
      </w:r>
      <w:r w:rsidRPr="00F92330">
        <w:rPr>
          <w:rFonts w:cstheme="minorHAnsi"/>
          <w:color w:val="2A2A2A"/>
          <w:sz w:val="24"/>
          <w:szCs w:val="24"/>
          <w:shd w:val="clear" w:color="auto" w:fill="FFFFFF"/>
        </w:rPr>
        <w:t>, Volume 94, Issue 1, September 2015, Pages 295–324, </w:t>
      </w:r>
      <w:r w:rsidRPr="00F92330">
        <w:rPr>
          <w:rFonts w:cstheme="minorHAnsi"/>
          <w:sz w:val="24"/>
          <w:szCs w:val="24"/>
          <w:bdr w:val="none" w:sz="0" w:space="0" w:color="auto" w:frame="1"/>
          <w:shd w:val="clear" w:color="auto" w:fill="FFFFFF"/>
        </w:rPr>
        <w:t>https://doi.org/10.1093/sf/sov044</w:t>
      </w:r>
      <w:r w:rsidR="00237572">
        <w:rPr>
          <w:rFonts w:cstheme="minorHAnsi"/>
          <w:sz w:val="24"/>
          <w:szCs w:val="24"/>
          <w:bdr w:val="none" w:sz="0" w:space="0" w:color="auto" w:frame="1"/>
          <w:shd w:val="clear" w:color="auto" w:fill="FFFFFF"/>
        </w:rPr>
        <w:t>.</w:t>
      </w:r>
    </w:p>
    <w:p w14:paraId="1433053B" w14:textId="585F8B76" w:rsidR="00762B40" w:rsidRPr="00F92330" w:rsidRDefault="00762B40" w:rsidP="008420E0">
      <w:pPr>
        <w:spacing w:after="240" w:line="240" w:lineRule="auto"/>
        <w:rPr>
          <w:rFonts w:eastAsia="Times New Roman" w:cstheme="minorHAnsi"/>
          <w:sz w:val="24"/>
          <w:szCs w:val="24"/>
        </w:rPr>
      </w:pPr>
      <w:r w:rsidRPr="00F92330">
        <w:rPr>
          <w:rFonts w:eastAsia="Times New Roman" w:cstheme="minorHAnsi"/>
          <w:sz w:val="24"/>
          <w:szCs w:val="24"/>
        </w:rPr>
        <w:t xml:space="preserve">Desmond, M., </w:t>
      </w:r>
      <w:proofErr w:type="spellStart"/>
      <w:r w:rsidRPr="00F92330">
        <w:rPr>
          <w:rFonts w:eastAsia="Times New Roman" w:cstheme="minorHAnsi"/>
          <w:sz w:val="24"/>
          <w:szCs w:val="24"/>
        </w:rPr>
        <w:t>Gershenson</w:t>
      </w:r>
      <w:proofErr w:type="spellEnd"/>
      <w:r w:rsidRPr="00F92330">
        <w:rPr>
          <w:rFonts w:eastAsia="Times New Roman" w:cstheme="minorHAnsi"/>
          <w:sz w:val="24"/>
          <w:szCs w:val="24"/>
        </w:rPr>
        <w:t xml:space="preserve">, C. (2016). Who Gets Evicted? </w:t>
      </w:r>
      <w:r w:rsidRPr="00F92330">
        <w:rPr>
          <w:rFonts w:eastAsia="Times New Roman" w:cstheme="minorHAnsi"/>
          <w:i/>
          <w:sz w:val="24"/>
          <w:szCs w:val="24"/>
        </w:rPr>
        <w:t>Social Science Research.</w:t>
      </w:r>
      <w:r w:rsidRPr="00F92330">
        <w:rPr>
          <w:rFonts w:eastAsia="Times New Roman" w:cstheme="minorHAnsi"/>
          <w:sz w:val="24"/>
          <w:szCs w:val="24"/>
        </w:rPr>
        <w:t xml:space="preserve">, </w:t>
      </w:r>
      <w:r w:rsidRPr="00F92330">
        <w:rPr>
          <w:rFonts w:cstheme="minorHAnsi"/>
          <w:sz w:val="24"/>
          <w:szCs w:val="24"/>
        </w:rPr>
        <w:t>https://doi.org/10.1016/j.ssresearch.2016.08.017</w:t>
      </w:r>
      <w:r w:rsidR="00237572">
        <w:rPr>
          <w:rFonts w:cstheme="minorHAnsi"/>
          <w:sz w:val="24"/>
          <w:szCs w:val="24"/>
        </w:rPr>
        <w:t>.</w:t>
      </w:r>
    </w:p>
    <w:p w14:paraId="045C643B" w14:textId="41042DD8" w:rsidR="00762B40" w:rsidRPr="00F92330" w:rsidRDefault="00762B40" w:rsidP="008420E0">
      <w:pPr>
        <w:spacing w:after="240" w:line="240" w:lineRule="auto"/>
        <w:rPr>
          <w:rFonts w:cstheme="minorHAnsi"/>
          <w:sz w:val="24"/>
          <w:szCs w:val="24"/>
        </w:rPr>
      </w:pPr>
      <w:proofErr w:type="spellStart"/>
      <w:r w:rsidRPr="00F92330">
        <w:rPr>
          <w:rFonts w:eastAsia="Times New Roman" w:cstheme="minorHAnsi"/>
          <w:color w:val="000000"/>
          <w:sz w:val="24"/>
          <w:szCs w:val="24"/>
        </w:rPr>
        <w:t>Dillman</w:t>
      </w:r>
      <w:proofErr w:type="spellEnd"/>
      <w:r w:rsidRPr="00F92330">
        <w:rPr>
          <w:rFonts w:eastAsia="Times New Roman" w:cstheme="minorHAnsi"/>
          <w:color w:val="000000"/>
          <w:sz w:val="24"/>
          <w:szCs w:val="24"/>
        </w:rPr>
        <w:t>, B. (2018, May 8). Tenant Defenses to Evictions in California. Www.Nolo.Com. https://www.nolo.com/legal-encyclopedia/tenant-defenses-evictions-california.html</w:t>
      </w:r>
      <w:r w:rsidR="00237572">
        <w:rPr>
          <w:rFonts w:cstheme="minorHAnsi"/>
          <w:sz w:val="24"/>
          <w:szCs w:val="24"/>
        </w:rPr>
        <w:t>.</w:t>
      </w:r>
    </w:p>
    <w:p w14:paraId="677DDCF6" w14:textId="090941C9" w:rsidR="00762B40" w:rsidRPr="00F92330" w:rsidRDefault="00762B40" w:rsidP="008420E0">
      <w:pPr>
        <w:spacing w:after="240" w:line="240" w:lineRule="auto"/>
        <w:rPr>
          <w:rFonts w:cstheme="minorHAnsi"/>
          <w:sz w:val="24"/>
          <w:szCs w:val="24"/>
        </w:rPr>
      </w:pPr>
      <w:r w:rsidRPr="00F92330">
        <w:rPr>
          <w:rFonts w:cstheme="minorHAnsi"/>
          <w:sz w:val="24"/>
          <w:szCs w:val="24"/>
        </w:rPr>
        <w:t>Dillon, L. (2019, February 3). A dark side to the California dream: How the state Constitution makes affordable housing hard to build. Los Angeles Times. https://www.latimes.com/politics/la-pol-ca-affordable-housing-constitution-20190203-story.html</w:t>
      </w:r>
      <w:r w:rsidR="00237572">
        <w:rPr>
          <w:rFonts w:cstheme="minorHAnsi"/>
          <w:sz w:val="24"/>
          <w:szCs w:val="24"/>
        </w:rPr>
        <w:t>.</w:t>
      </w:r>
    </w:p>
    <w:p w14:paraId="6292A5AD" w14:textId="05A794EF" w:rsidR="00762B40" w:rsidRPr="00F92330" w:rsidRDefault="00762B40" w:rsidP="008420E0">
      <w:pPr>
        <w:spacing w:after="240" w:line="240" w:lineRule="auto"/>
        <w:rPr>
          <w:rFonts w:eastAsia="Times New Roman" w:cstheme="minorHAnsi"/>
          <w:color w:val="000000"/>
          <w:sz w:val="24"/>
          <w:szCs w:val="24"/>
        </w:rPr>
      </w:pPr>
      <w:r w:rsidRPr="00F92330">
        <w:rPr>
          <w:rFonts w:eastAsia="Times New Roman" w:cstheme="minorHAnsi"/>
          <w:color w:val="000000"/>
          <w:sz w:val="24"/>
          <w:szCs w:val="24"/>
        </w:rPr>
        <w:t>Eviction Defense Collaborative. (2018). Mayor Breed announces rolling out $5.8MM over two years for tenant right to counsel!!! Eviction Defense Collaborative. https://evictiondefense.org/mayor-breed-announces-rolling-out-5-8mm-over-two-years-for-tenant-right-to-counsel/</w:t>
      </w:r>
      <w:r w:rsidR="00237572">
        <w:rPr>
          <w:rFonts w:eastAsia="Times New Roman" w:cstheme="minorHAnsi"/>
          <w:color w:val="000000"/>
          <w:sz w:val="24"/>
          <w:szCs w:val="24"/>
        </w:rPr>
        <w:t>.</w:t>
      </w:r>
    </w:p>
    <w:p w14:paraId="2EEAD5A9" w14:textId="03699C8E" w:rsidR="00762B40" w:rsidRPr="00F92330" w:rsidRDefault="00762B40" w:rsidP="008420E0">
      <w:pPr>
        <w:spacing w:after="240" w:line="240" w:lineRule="auto"/>
        <w:rPr>
          <w:rFonts w:cstheme="minorHAnsi"/>
          <w:color w:val="303030"/>
          <w:sz w:val="24"/>
          <w:szCs w:val="24"/>
          <w:shd w:val="clear" w:color="auto" w:fill="FFFFFF"/>
        </w:rPr>
      </w:pPr>
      <w:r w:rsidRPr="00F92330">
        <w:rPr>
          <w:rFonts w:cstheme="minorHAnsi"/>
          <w:sz w:val="24"/>
          <w:szCs w:val="24"/>
        </w:rPr>
        <w:t>Fowler et al, 2015</w:t>
      </w:r>
      <w:r w:rsidRPr="00F92330">
        <w:rPr>
          <w:rFonts w:cstheme="minorHAnsi"/>
          <w:color w:val="303030"/>
          <w:sz w:val="24"/>
          <w:szCs w:val="24"/>
          <w:shd w:val="clear" w:color="auto" w:fill="FFFFFF"/>
        </w:rPr>
        <w:t xml:space="preserve">: Fowler, K. A., Gladden, R. M., </w:t>
      </w:r>
      <w:proofErr w:type="spellStart"/>
      <w:r w:rsidRPr="00F92330">
        <w:rPr>
          <w:rFonts w:cstheme="minorHAnsi"/>
          <w:color w:val="303030"/>
          <w:sz w:val="24"/>
          <w:szCs w:val="24"/>
          <w:shd w:val="clear" w:color="auto" w:fill="FFFFFF"/>
        </w:rPr>
        <w:t>Vagi</w:t>
      </w:r>
      <w:proofErr w:type="spellEnd"/>
      <w:r w:rsidRPr="00F92330">
        <w:rPr>
          <w:rFonts w:cstheme="minorHAnsi"/>
          <w:color w:val="303030"/>
          <w:sz w:val="24"/>
          <w:szCs w:val="24"/>
          <w:shd w:val="clear" w:color="auto" w:fill="FFFFFF"/>
        </w:rPr>
        <w:t>, K. J., Barnes, J., &amp; Frazier, L. (2015). Increase in suicides associated with home eviction and foreclosure during the US housing crisis: findings from 16 National Violent Death Reporting System States, 2005-2010. </w:t>
      </w:r>
      <w:r w:rsidRPr="00F92330">
        <w:rPr>
          <w:rFonts w:cstheme="minorHAnsi"/>
          <w:i/>
          <w:iCs/>
          <w:color w:val="303030"/>
          <w:sz w:val="24"/>
          <w:szCs w:val="24"/>
          <w:shd w:val="clear" w:color="auto" w:fill="FFFFFF"/>
        </w:rPr>
        <w:t>American journal of public health</w:t>
      </w:r>
      <w:r w:rsidRPr="00F92330">
        <w:rPr>
          <w:rFonts w:cstheme="minorHAnsi"/>
          <w:color w:val="303030"/>
          <w:sz w:val="24"/>
          <w:szCs w:val="24"/>
          <w:shd w:val="clear" w:color="auto" w:fill="FFFFFF"/>
        </w:rPr>
        <w:t>, </w:t>
      </w:r>
      <w:r w:rsidRPr="00F92330">
        <w:rPr>
          <w:rFonts w:cstheme="minorHAnsi"/>
          <w:i/>
          <w:iCs/>
          <w:color w:val="303030"/>
          <w:sz w:val="24"/>
          <w:szCs w:val="24"/>
          <w:shd w:val="clear" w:color="auto" w:fill="FFFFFF"/>
        </w:rPr>
        <w:t>105</w:t>
      </w:r>
      <w:r w:rsidRPr="00F92330">
        <w:rPr>
          <w:rFonts w:cstheme="minorHAnsi"/>
          <w:color w:val="303030"/>
          <w:sz w:val="24"/>
          <w:szCs w:val="24"/>
          <w:shd w:val="clear" w:color="auto" w:fill="FFFFFF"/>
        </w:rPr>
        <w:t xml:space="preserve">(2), 311–316. </w:t>
      </w:r>
      <w:r w:rsidRPr="00F92330">
        <w:rPr>
          <w:rFonts w:cstheme="minorHAnsi"/>
          <w:sz w:val="24"/>
          <w:szCs w:val="24"/>
          <w:shd w:val="clear" w:color="auto" w:fill="FFFFFF"/>
        </w:rPr>
        <w:t>https://doi.org/10.2105/AJPH.2014.301945</w:t>
      </w:r>
      <w:r w:rsidR="00237572">
        <w:rPr>
          <w:rFonts w:cstheme="minorHAnsi"/>
          <w:sz w:val="24"/>
          <w:szCs w:val="24"/>
          <w:shd w:val="clear" w:color="auto" w:fill="FFFFFF"/>
        </w:rPr>
        <w:t>.</w:t>
      </w:r>
    </w:p>
    <w:p w14:paraId="021378E2" w14:textId="54094A06" w:rsidR="00762B40" w:rsidRPr="00F92330" w:rsidRDefault="00762B40" w:rsidP="008420E0">
      <w:pPr>
        <w:spacing w:after="240" w:line="240" w:lineRule="auto"/>
        <w:rPr>
          <w:rFonts w:cstheme="minorHAnsi"/>
          <w:sz w:val="24"/>
          <w:szCs w:val="24"/>
        </w:rPr>
      </w:pPr>
      <w:r w:rsidRPr="00F92330">
        <w:rPr>
          <w:rFonts w:cstheme="minorHAnsi"/>
          <w:color w:val="212121"/>
          <w:sz w:val="24"/>
          <w:szCs w:val="24"/>
          <w:shd w:val="clear" w:color="auto" w:fill="FFFFFF"/>
        </w:rPr>
        <w:t>Garrett D. G. (2012). The business case for ending homelessness: having a home improves health, reduces healthcare utilization and costs. </w:t>
      </w:r>
      <w:r w:rsidRPr="00F92330">
        <w:rPr>
          <w:rFonts w:cstheme="minorHAnsi"/>
          <w:i/>
          <w:iCs/>
          <w:color w:val="212121"/>
          <w:sz w:val="24"/>
          <w:szCs w:val="24"/>
          <w:shd w:val="clear" w:color="auto" w:fill="FFFFFF"/>
        </w:rPr>
        <w:t>American health &amp; drug benefits</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5</w:t>
      </w:r>
      <w:r w:rsidRPr="00F92330">
        <w:rPr>
          <w:rFonts w:cstheme="minorHAnsi"/>
          <w:color w:val="212121"/>
          <w:sz w:val="24"/>
          <w:szCs w:val="24"/>
          <w:shd w:val="clear" w:color="auto" w:fill="FFFFFF"/>
        </w:rPr>
        <w:t>(1), 17–19. Retrieved from: https://www.ncbi.nlm.nih.gov/pmc/articles/PMC4046466/pdf/ahdb-05-017.pdf</w:t>
      </w:r>
      <w:r w:rsidR="00237572">
        <w:rPr>
          <w:rFonts w:cstheme="minorHAnsi"/>
          <w:color w:val="212121"/>
          <w:sz w:val="24"/>
          <w:szCs w:val="24"/>
          <w:shd w:val="clear" w:color="auto" w:fill="FFFFFF"/>
        </w:rPr>
        <w:t>.</w:t>
      </w:r>
    </w:p>
    <w:p w14:paraId="40112A54" w14:textId="3EA4D196" w:rsidR="00762B40" w:rsidRPr="00F92330" w:rsidRDefault="00762B40" w:rsidP="008420E0">
      <w:pPr>
        <w:spacing w:after="240" w:line="240" w:lineRule="auto"/>
        <w:rPr>
          <w:rFonts w:cstheme="minorHAnsi"/>
          <w:b/>
          <w:bCs/>
          <w:sz w:val="24"/>
          <w:szCs w:val="24"/>
        </w:rPr>
      </w:pPr>
      <w:r w:rsidRPr="00F92330">
        <w:rPr>
          <w:rFonts w:cstheme="minorHAnsi"/>
          <w:color w:val="212121"/>
          <w:sz w:val="24"/>
          <w:szCs w:val="24"/>
          <w:shd w:val="clear" w:color="auto" w:fill="FFFFFF"/>
        </w:rPr>
        <w:t xml:space="preserve">Holding, E., Blank, L., Crowder, M., Ferrari, E., &amp; Goyder, E. (2020). Exploring the relationship between housing concerns, mental </w:t>
      </w:r>
      <w:proofErr w:type="gramStart"/>
      <w:r w:rsidRPr="00F92330">
        <w:rPr>
          <w:rFonts w:cstheme="minorHAnsi"/>
          <w:color w:val="212121"/>
          <w:sz w:val="24"/>
          <w:szCs w:val="24"/>
          <w:shd w:val="clear" w:color="auto" w:fill="FFFFFF"/>
        </w:rPr>
        <w:t>health</w:t>
      </w:r>
      <w:proofErr w:type="gramEnd"/>
      <w:r w:rsidRPr="00F92330">
        <w:rPr>
          <w:rFonts w:cstheme="minorHAnsi"/>
          <w:color w:val="212121"/>
          <w:sz w:val="24"/>
          <w:szCs w:val="24"/>
          <w:shd w:val="clear" w:color="auto" w:fill="FFFFFF"/>
        </w:rPr>
        <w:t xml:space="preserve"> and wellbeing: a qualitative study of social housing tenants. </w:t>
      </w:r>
      <w:r w:rsidRPr="00F92330">
        <w:rPr>
          <w:rFonts w:cstheme="minorHAnsi"/>
          <w:i/>
          <w:iCs/>
          <w:color w:val="212121"/>
          <w:sz w:val="24"/>
          <w:szCs w:val="24"/>
          <w:shd w:val="clear" w:color="auto" w:fill="FFFFFF"/>
        </w:rPr>
        <w:t>Journal of public health (Oxford, England)</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42</w:t>
      </w:r>
      <w:r w:rsidRPr="00F92330">
        <w:rPr>
          <w:rFonts w:cstheme="minorHAnsi"/>
          <w:color w:val="212121"/>
          <w:sz w:val="24"/>
          <w:szCs w:val="24"/>
          <w:shd w:val="clear" w:color="auto" w:fill="FFFFFF"/>
        </w:rPr>
        <w:t>(3), e231–e238. https://doi.org/10.1093/pubmed/fdz076</w:t>
      </w:r>
      <w:r w:rsidR="00237572">
        <w:rPr>
          <w:rFonts w:cstheme="minorHAnsi"/>
          <w:b/>
          <w:bCs/>
          <w:sz w:val="24"/>
          <w:szCs w:val="24"/>
        </w:rPr>
        <w:t>.</w:t>
      </w:r>
    </w:p>
    <w:p w14:paraId="6D91A325" w14:textId="459453AE" w:rsidR="00762B40" w:rsidRPr="00F92330" w:rsidRDefault="00762B40" w:rsidP="008420E0">
      <w:pPr>
        <w:spacing w:after="240" w:line="240" w:lineRule="auto"/>
        <w:rPr>
          <w:rFonts w:cstheme="minorHAnsi"/>
          <w:b/>
          <w:bCs/>
          <w:sz w:val="24"/>
          <w:szCs w:val="24"/>
        </w:rPr>
      </w:pPr>
      <w:r w:rsidRPr="00F92330">
        <w:rPr>
          <w:rFonts w:cstheme="minorHAnsi"/>
          <w:color w:val="212121"/>
          <w:sz w:val="24"/>
          <w:szCs w:val="24"/>
          <w:shd w:val="clear" w:color="auto" w:fill="FFFFFF"/>
        </w:rPr>
        <w:t xml:space="preserve">Holl M, van den Dries L, Wolf JR. </w:t>
      </w:r>
      <w:r w:rsidR="00E40233" w:rsidRPr="00F92330">
        <w:rPr>
          <w:rFonts w:cstheme="minorHAnsi"/>
          <w:color w:val="212121"/>
          <w:sz w:val="24"/>
          <w:szCs w:val="24"/>
          <w:shd w:val="clear" w:color="auto" w:fill="FFFFFF"/>
        </w:rPr>
        <w:t xml:space="preserve">(2016). </w:t>
      </w:r>
      <w:r w:rsidRPr="00F92330">
        <w:rPr>
          <w:rFonts w:cstheme="minorHAnsi"/>
          <w:color w:val="212121"/>
          <w:sz w:val="24"/>
          <w:szCs w:val="24"/>
          <w:shd w:val="clear" w:color="auto" w:fill="FFFFFF"/>
        </w:rPr>
        <w:t xml:space="preserve">Interventions to prevent tenant evictions: a systematic review. Health Soc Care Community. 24(5):532-46. </w:t>
      </w:r>
      <w:proofErr w:type="spellStart"/>
      <w:r w:rsidRPr="00F92330">
        <w:rPr>
          <w:rFonts w:cstheme="minorHAnsi"/>
          <w:color w:val="212121"/>
          <w:sz w:val="24"/>
          <w:szCs w:val="24"/>
          <w:shd w:val="clear" w:color="auto" w:fill="FFFFFF"/>
        </w:rPr>
        <w:t>doi</w:t>
      </w:r>
      <w:proofErr w:type="spellEnd"/>
      <w:r w:rsidRPr="00F92330">
        <w:rPr>
          <w:rFonts w:cstheme="minorHAnsi"/>
          <w:color w:val="212121"/>
          <w:sz w:val="24"/>
          <w:szCs w:val="24"/>
          <w:shd w:val="clear" w:color="auto" w:fill="FFFFFF"/>
        </w:rPr>
        <w:t>: 10.1111/hsc.12257</w:t>
      </w:r>
      <w:r w:rsidR="00237572">
        <w:rPr>
          <w:rFonts w:cstheme="minorHAnsi"/>
          <w:color w:val="212121"/>
          <w:sz w:val="24"/>
          <w:szCs w:val="24"/>
          <w:shd w:val="clear" w:color="auto" w:fill="FFFFFF"/>
        </w:rPr>
        <w:t>.</w:t>
      </w:r>
    </w:p>
    <w:p w14:paraId="072CAFFE" w14:textId="0385F854" w:rsidR="00762B40" w:rsidRPr="00F92330" w:rsidRDefault="00762B40" w:rsidP="008420E0">
      <w:pPr>
        <w:spacing w:after="240" w:line="240" w:lineRule="auto"/>
        <w:rPr>
          <w:rFonts w:cstheme="minorHAnsi"/>
          <w:sz w:val="24"/>
          <w:szCs w:val="24"/>
        </w:rPr>
      </w:pPr>
      <w:r w:rsidRPr="00F92330">
        <w:rPr>
          <w:rFonts w:cstheme="minorHAnsi"/>
          <w:sz w:val="24"/>
          <w:szCs w:val="24"/>
        </w:rPr>
        <w:t>Homeowner-Protection Guidelines. (2021). Housing Is Key. https://landlordtenant.dre.ca.gov/faqs.html</w:t>
      </w:r>
      <w:r w:rsidR="00237572">
        <w:rPr>
          <w:rFonts w:cstheme="minorHAnsi"/>
          <w:sz w:val="24"/>
          <w:szCs w:val="24"/>
        </w:rPr>
        <w:t>.</w:t>
      </w:r>
    </w:p>
    <w:p w14:paraId="586845F7" w14:textId="46C80C20" w:rsidR="00762B40" w:rsidRPr="00F92330" w:rsidRDefault="00762B40" w:rsidP="008420E0">
      <w:pPr>
        <w:spacing w:after="240" w:line="240" w:lineRule="auto"/>
        <w:rPr>
          <w:rFonts w:eastAsia="Times New Roman" w:cstheme="minorHAnsi"/>
          <w:color w:val="000000"/>
          <w:sz w:val="24"/>
          <w:szCs w:val="24"/>
        </w:rPr>
      </w:pPr>
      <w:r w:rsidRPr="00F92330">
        <w:rPr>
          <w:rFonts w:eastAsia="Times New Roman" w:cstheme="minorHAnsi"/>
          <w:color w:val="000000"/>
          <w:sz w:val="24"/>
          <w:szCs w:val="24"/>
        </w:rPr>
        <w:t>Ingl</w:t>
      </w:r>
      <w:r w:rsidR="00D6081D">
        <w:rPr>
          <w:rFonts w:eastAsia="Times New Roman" w:cstheme="minorHAnsi"/>
          <w:color w:val="000000"/>
          <w:sz w:val="24"/>
          <w:szCs w:val="24"/>
        </w:rPr>
        <w:t>i</w:t>
      </w:r>
      <w:r w:rsidRPr="00F92330">
        <w:rPr>
          <w:rFonts w:eastAsia="Times New Roman" w:cstheme="minorHAnsi"/>
          <w:color w:val="000000"/>
          <w:sz w:val="24"/>
          <w:szCs w:val="24"/>
        </w:rPr>
        <w:t>s, A., &amp; Preston, D. (2018). Evictions are Fast and Frequent. Tenants Together. https://www.tenantstogether.org/sites/tenantstogether.org/files/</w:t>
      </w:r>
      <w:r w:rsidR="00237572">
        <w:rPr>
          <w:rFonts w:eastAsia="Times New Roman" w:cstheme="minorHAnsi"/>
          <w:color w:val="000000"/>
          <w:sz w:val="24"/>
          <w:szCs w:val="24"/>
        </w:rPr>
        <w:t>.</w:t>
      </w:r>
    </w:p>
    <w:p w14:paraId="6076DDB7" w14:textId="0897E8BB" w:rsidR="00C45301" w:rsidRPr="00F92330" w:rsidRDefault="00C45301" w:rsidP="00C45301">
      <w:pPr>
        <w:spacing w:after="240" w:line="240" w:lineRule="auto"/>
        <w:rPr>
          <w:rFonts w:cstheme="minorHAnsi"/>
          <w:sz w:val="24"/>
          <w:szCs w:val="24"/>
        </w:rPr>
      </w:pPr>
      <w:r w:rsidRPr="00F92330">
        <w:rPr>
          <w:rFonts w:cstheme="minorHAnsi"/>
          <w:sz w:val="24"/>
          <w:szCs w:val="24"/>
        </w:rPr>
        <w:t>Khouri, A. (2018). A ‘unique’ opportunity for investors spells mass eviction for tenants. LA Times. Retrieved from: https://www.latimes.com/projects/la-fi-evictions/</w:t>
      </w:r>
      <w:r w:rsidR="00237572">
        <w:rPr>
          <w:rFonts w:cstheme="minorHAnsi"/>
          <w:sz w:val="24"/>
          <w:szCs w:val="24"/>
        </w:rPr>
        <w:t>.</w:t>
      </w:r>
    </w:p>
    <w:p w14:paraId="3350F264" w14:textId="2DBB617E" w:rsidR="00762B40" w:rsidRPr="00F92330" w:rsidRDefault="00762B40" w:rsidP="008420E0">
      <w:pPr>
        <w:spacing w:after="240" w:line="240" w:lineRule="auto"/>
        <w:rPr>
          <w:rFonts w:cstheme="minorHAnsi"/>
          <w:sz w:val="24"/>
          <w:szCs w:val="24"/>
        </w:rPr>
      </w:pPr>
      <w:r w:rsidRPr="00F92330">
        <w:rPr>
          <w:rFonts w:cstheme="minorHAnsi"/>
          <w:sz w:val="24"/>
          <w:szCs w:val="24"/>
        </w:rPr>
        <w:lastRenderedPageBreak/>
        <w:t>Lee, B &amp; Price-</w:t>
      </w:r>
      <w:proofErr w:type="spellStart"/>
      <w:r w:rsidRPr="00F92330">
        <w:rPr>
          <w:rFonts w:cstheme="minorHAnsi"/>
          <w:sz w:val="24"/>
          <w:szCs w:val="24"/>
        </w:rPr>
        <w:t>Spratlen</w:t>
      </w:r>
      <w:proofErr w:type="spellEnd"/>
      <w:r w:rsidRPr="00F92330">
        <w:rPr>
          <w:rFonts w:cstheme="minorHAnsi"/>
          <w:sz w:val="24"/>
          <w:szCs w:val="24"/>
        </w:rPr>
        <w:t xml:space="preserve">, T, </w:t>
      </w:r>
      <w:proofErr w:type="spellStart"/>
      <w:r w:rsidRPr="00F92330">
        <w:rPr>
          <w:rFonts w:cstheme="minorHAnsi"/>
          <w:sz w:val="24"/>
          <w:szCs w:val="24"/>
        </w:rPr>
        <w:t>Kanan</w:t>
      </w:r>
      <w:proofErr w:type="spellEnd"/>
      <w:r w:rsidRPr="00F92330">
        <w:rPr>
          <w:rFonts w:cstheme="minorHAnsi"/>
          <w:sz w:val="24"/>
          <w:szCs w:val="24"/>
        </w:rPr>
        <w:t>, J. (2003). Determinants of Homelessness in Metropolitan Areas. Journal of Urban Affairs. 25. 335 - 356. 10.1111/1467-9906.00168</w:t>
      </w:r>
      <w:r w:rsidR="00237572">
        <w:rPr>
          <w:rFonts w:cstheme="minorHAnsi"/>
          <w:sz w:val="24"/>
          <w:szCs w:val="24"/>
        </w:rPr>
        <w:t>.</w:t>
      </w:r>
    </w:p>
    <w:p w14:paraId="436FC21E" w14:textId="450A0DAC" w:rsidR="00762B40" w:rsidRPr="00F92330" w:rsidRDefault="00762B40" w:rsidP="008420E0">
      <w:pPr>
        <w:spacing w:after="240" w:line="240" w:lineRule="auto"/>
        <w:rPr>
          <w:rFonts w:eastAsia="Times New Roman" w:cstheme="minorHAnsi"/>
          <w:color w:val="000000"/>
          <w:sz w:val="24"/>
          <w:szCs w:val="24"/>
        </w:rPr>
      </w:pPr>
      <w:r w:rsidRPr="00F92330">
        <w:rPr>
          <w:rFonts w:eastAsia="Times New Roman" w:cstheme="minorHAnsi"/>
          <w:color w:val="000000"/>
          <w:sz w:val="24"/>
          <w:szCs w:val="24"/>
        </w:rPr>
        <w:t xml:space="preserve">Legal Services of Northern California. (2019). Annual Financial Report. Legal Services of Northern California. </w:t>
      </w:r>
      <w:r w:rsidRPr="00F92330">
        <w:rPr>
          <w:rFonts w:eastAsia="Times New Roman" w:cstheme="minorHAnsi"/>
          <w:sz w:val="24"/>
          <w:szCs w:val="24"/>
        </w:rPr>
        <w:t>https://lsnc.net/sites/default/files/inline-images/2019_Annual_Report.pdf</w:t>
      </w:r>
      <w:r w:rsidR="00237572">
        <w:rPr>
          <w:rFonts w:eastAsia="Times New Roman" w:cstheme="minorHAnsi"/>
          <w:sz w:val="24"/>
          <w:szCs w:val="24"/>
        </w:rPr>
        <w:t>.</w:t>
      </w:r>
    </w:p>
    <w:p w14:paraId="3176BFEF" w14:textId="53FDA75A" w:rsidR="00762B40" w:rsidRPr="00F92330" w:rsidRDefault="00762B40" w:rsidP="008420E0">
      <w:pPr>
        <w:spacing w:after="240" w:line="240" w:lineRule="auto"/>
        <w:rPr>
          <w:rFonts w:cstheme="minorHAnsi"/>
          <w:sz w:val="24"/>
          <w:szCs w:val="24"/>
        </w:rPr>
      </w:pPr>
      <w:r w:rsidRPr="00F92330">
        <w:rPr>
          <w:rFonts w:cstheme="minorHAnsi"/>
          <w:sz w:val="24"/>
          <w:szCs w:val="24"/>
        </w:rPr>
        <w:t xml:space="preserve">Levin, M. (2020, December 8). Lawmakers weigh moratorium extension as eviction cliff looms. </w:t>
      </w:r>
      <w:proofErr w:type="spellStart"/>
      <w:r w:rsidRPr="00F92330">
        <w:rPr>
          <w:rFonts w:cstheme="minorHAnsi"/>
          <w:sz w:val="24"/>
          <w:szCs w:val="24"/>
        </w:rPr>
        <w:t>CalMatters</w:t>
      </w:r>
      <w:proofErr w:type="spellEnd"/>
      <w:r w:rsidRPr="00F92330">
        <w:rPr>
          <w:rFonts w:cstheme="minorHAnsi"/>
          <w:sz w:val="24"/>
          <w:szCs w:val="24"/>
        </w:rPr>
        <w:t>. https://calmatters.org/housing/2020/12/lawmakers-weigh-moratorium-extension-as-eviction-cliff-looms/</w:t>
      </w:r>
      <w:r w:rsidR="00237572">
        <w:rPr>
          <w:rFonts w:cstheme="minorHAnsi"/>
          <w:sz w:val="24"/>
          <w:szCs w:val="24"/>
        </w:rPr>
        <w:t>.</w:t>
      </w:r>
    </w:p>
    <w:p w14:paraId="33ADEECB" w14:textId="3267D25A" w:rsidR="00762B40" w:rsidRPr="00F92330" w:rsidRDefault="00762B40" w:rsidP="008420E0">
      <w:pPr>
        <w:spacing w:after="240" w:line="240" w:lineRule="auto"/>
        <w:rPr>
          <w:rFonts w:cstheme="minorHAnsi"/>
          <w:sz w:val="24"/>
          <w:szCs w:val="24"/>
        </w:rPr>
      </w:pPr>
      <w:r w:rsidRPr="00F92330">
        <w:rPr>
          <w:rFonts w:cstheme="minorHAnsi"/>
          <w:sz w:val="24"/>
          <w:szCs w:val="24"/>
        </w:rPr>
        <w:t xml:space="preserve">Levin, M. (2021, January 6). Commentary: Five things </w:t>
      </w:r>
      <w:proofErr w:type="gramStart"/>
      <w:r w:rsidRPr="00F92330">
        <w:rPr>
          <w:rFonts w:cstheme="minorHAnsi"/>
          <w:sz w:val="24"/>
          <w:szCs w:val="24"/>
        </w:rPr>
        <w:t>I’ve</w:t>
      </w:r>
      <w:proofErr w:type="gramEnd"/>
      <w:r w:rsidRPr="00F92330">
        <w:rPr>
          <w:rFonts w:cstheme="minorHAnsi"/>
          <w:sz w:val="24"/>
          <w:szCs w:val="24"/>
        </w:rPr>
        <w:t xml:space="preserve"> learned covering California’s housing crisis that you should know. </w:t>
      </w:r>
      <w:proofErr w:type="spellStart"/>
      <w:r w:rsidRPr="00F92330">
        <w:rPr>
          <w:rFonts w:cstheme="minorHAnsi"/>
          <w:sz w:val="24"/>
          <w:szCs w:val="24"/>
        </w:rPr>
        <w:t>CalMatters</w:t>
      </w:r>
      <w:proofErr w:type="spellEnd"/>
      <w:r w:rsidRPr="00F92330">
        <w:rPr>
          <w:rFonts w:cstheme="minorHAnsi"/>
          <w:sz w:val="24"/>
          <w:szCs w:val="24"/>
        </w:rPr>
        <w:t>. https://calmatters.org/housing/2021/01/california-housing-crisis-lessons/</w:t>
      </w:r>
      <w:r w:rsidR="00237572">
        <w:rPr>
          <w:rFonts w:cstheme="minorHAnsi"/>
          <w:sz w:val="24"/>
          <w:szCs w:val="24"/>
        </w:rPr>
        <w:t>.</w:t>
      </w:r>
    </w:p>
    <w:p w14:paraId="32AEB9B7" w14:textId="3F802713" w:rsidR="00762B40" w:rsidRPr="00F92330" w:rsidRDefault="00762B40" w:rsidP="008420E0">
      <w:pPr>
        <w:spacing w:after="240" w:line="240" w:lineRule="auto"/>
        <w:rPr>
          <w:rFonts w:cstheme="minorHAnsi"/>
          <w:color w:val="303030"/>
          <w:sz w:val="24"/>
          <w:szCs w:val="24"/>
          <w:shd w:val="clear" w:color="auto" w:fill="FFFFFF"/>
        </w:rPr>
      </w:pPr>
      <w:r w:rsidRPr="00F92330">
        <w:rPr>
          <w:rFonts w:cstheme="minorHAnsi"/>
          <w:color w:val="303030"/>
          <w:sz w:val="24"/>
          <w:szCs w:val="24"/>
          <w:shd w:val="clear" w:color="auto" w:fill="FFFFFF"/>
        </w:rPr>
        <w:t>Lim et al, 2018: Lim, S., Singh, T. P., Hall, G., Walters, S., &amp; Gould, L. H. (2018). Impact of a New York City Supportive Housing Program on Housing Stability and Preventable Health Care among Homeless Families. </w:t>
      </w:r>
      <w:r w:rsidRPr="00F92330">
        <w:rPr>
          <w:rFonts w:cstheme="minorHAnsi"/>
          <w:i/>
          <w:iCs/>
          <w:color w:val="303030"/>
          <w:sz w:val="24"/>
          <w:szCs w:val="24"/>
          <w:shd w:val="clear" w:color="auto" w:fill="FFFFFF"/>
        </w:rPr>
        <w:t>Health services research</w:t>
      </w:r>
      <w:r w:rsidRPr="00F92330">
        <w:rPr>
          <w:rFonts w:cstheme="minorHAnsi"/>
          <w:color w:val="303030"/>
          <w:sz w:val="24"/>
          <w:szCs w:val="24"/>
          <w:shd w:val="clear" w:color="auto" w:fill="FFFFFF"/>
        </w:rPr>
        <w:t>, </w:t>
      </w:r>
      <w:r w:rsidRPr="00F92330">
        <w:rPr>
          <w:rFonts w:cstheme="minorHAnsi"/>
          <w:i/>
          <w:iCs/>
          <w:color w:val="303030"/>
          <w:sz w:val="24"/>
          <w:szCs w:val="24"/>
          <w:shd w:val="clear" w:color="auto" w:fill="FFFFFF"/>
        </w:rPr>
        <w:t>53</w:t>
      </w:r>
      <w:r w:rsidRPr="00F92330">
        <w:rPr>
          <w:rFonts w:cstheme="minorHAnsi"/>
          <w:color w:val="303030"/>
          <w:sz w:val="24"/>
          <w:szCs w:val="24"/>
          <w:shd w:val="clear" w:color="auto" w:fill="FFFFFF"/>
        </w:rPr>
        <w:t xml:space="preserve">(5), 3437–3454. </w:t>
      </w:r>
      <w:r w:rsidRPr="00F92330">
        <w:rPr>
          <w:rFonts w:cstheme="minorHAnsi"/>
          <w:sz w:val="24"/>
          <w:szCs w:val="24"/>
          <w:shd w:val="clear" w:color="auto" w:fill="FFFFFF"/>
        </w:rPr>
        <w:t>https://doi.org/10.1111/1475-6773.12849</w:t>
      </w:r>
      <w:r w:rsidR="00237572">
        <w:rPr>
          <w:rFonts w:cstheme="minorHAnsi"/>
          <w:sz w:val="24"/>
          <w:szCs w:val="24"/>
          <w:shd w:val="clear" w:color="auto" w:fill="FFFFFF"/>
        </w:rPr>
        <w:t>.</w:t>
      </w:r>
    </w:p>
    <w:p w14:paraId="74175E65" w14:textId="59B63E48" w:rsidR="00762B40" w:rsidRPr="00F92330" w:rsidRDefault="00762B40" w:rsidP="008420E0">
      <w:pPr>
        <w:spacing w:after="240" w:line="240" w:lineRule="auto"/>
        <w:rPr>
          <w:rFonts w:cstheme="minorHAnsi"/>
          <w:sz w:val="24"/>
          <w:szCs w:val="24"/>
        </w:rPr>
      </w:pPr>
      <w:r w:rsidRPr="00F92330">
        <w:rPr>
          <w:rFonts w:cstheme="minorHAnsi"/>
          <w:sz w:val="24"/>
          <w:szCs w:val="24"/>
        </w:rPr>
        <w:t xml:space="preserve">Lutze et al, 2013: Lutze, Faith &amp; </w:t>
      </w:r>
      <w:proofErr w:type="spellStart"/>
      <w:r w:rsidRPr="00F92330">
        <w:rPr>
          <w:rFonts w:cstheme="minorHAnsi"/>
          <w:sz w:val="24"/>
          <w:szCs w:val="24"/>
        </w:rPr>
        <w:t>Rosky</w:t>
      </w:r>
      <w:proofErr w:type="spellEnd"/>
      <w:r w:rsidRPr="00F92330">
        <w:rPr>
          <w:rFonts w:cstheme="minorHAnsi"/>
          <w:sz w:val="24"/>
          <w:szCs w:val="24"/>
        </w:rPr>
        <w:t xml:space="preserve">, Jeffrey &amp; Hamilton, Zachary. (2013). Homelessness and Reentry: A Multisite Outcome Evaluation of Washington State's Reentry Housing Program for </w:t>
      </w:r>
      <w:proofErr w:type="gramStart"/>
      <w:r w:rsidRPr="00F92330">
        <w:rPr>
          <w:rFonts w:cstheme="minorHAnsi"/>
          <w:sz w:val="24"/>
          <w:szCs w:val="24"/>
        </w:rPr>
        <w:t>High Risk</w:t>
      </w:r>
      <w:proofErr w:type="gramEnd"/>
      <w:r w:rsidRPr="00F92330">
        <w:rPr>
          <w:rFonts w:cstheme="minorHAnsi"/>
          <w:sz w:val="24"/>
          <w:szCs w:val="24"/>
        </w:rPr>
        <w:t xml:space="preserve"> Offenders. Criminal Justice and Behavior. 41. 471-491. 10.1177/0093854813510164</w:t>
      </w:r>
      <w:r w:rsidR="00237572">
        <w:rPr>
          <w:rFonts w:cstheme="minorHAnsi"/>
          <w:sz w:val="24"/>
          <w:szCs w:val="24"/>
        </w:rPr>
        <w:t>.</w:t>
      </w:r>
    </w:p>
    <w:p w14:paraId="3F8D3C62" w14:textId="3B9B8E7E" w:rsidR="00762B40" w:rsidRPr="00F92330" w:rsidRDefault="00762B40" w:rsidP="008420E0">
      <w:pPr>
        <w:spacing w:after="240" w:line="240" w:lineRule="auto"/>
        <w:rPr>
          <w:rFonts w:eastAsia="Times New Roman" w:cstheme="minorHAnsi"/>
          <w:color w:val="000000"/>
          <w:sz w:val="24"/>
          <w:szCs w:val="24"/>
        </w:rPr>
      </w:pPr>
      <w:r w:rsidRPr="00F92330">
        <w:rPr>
          <w:rFonts w:eastAsia="Times New Roman" w:cstheme="minorHAnsi"/>
          <w:color w:val="000000"/>
          <w:sz w:val="24"/>
          <w:szCs w:val="24"/>
        </w:rPr>
        <w:t>Macrotrends.net. (2016).</w:t>
      </w:r>
      <w:r w:rsidRPr="00F92330">
        <w:rPr>
          <w:rFonts w:cstheme="minorHAnsi"/>
          <w:sz w:val="24"/>
          <w:szCs w:val="24"/>
        </w:rPr>
        <w:t xml:space="preserve"> </w:t>
      </w:r>
      <w:r w:rsidRPr="00F92330">
        <w:rPr>
          <w:rFonts w:eastAsia="Times New Roman" w:cstheme="minorHAnsi"/>
          <w:color w:val="000000"/>
          <w:sz w:val="24"/>
          <w:szCs w:val="24"/>
        </w:rPr>
        <w:t xml:space="preserve">Euro Dollar Exchange Rate (EUR USD) - Historical Chart. </w:t>
      </w:r>
      <w:r w:rsidRPr="00F92330">
        <w:rPr>
          <w:rFonts w:eastAsia="Times New Roman" w:cstheme="minorHAnsi"/>
          <w:sz w:val="24"/>
          <w:szCs w:val="24"/>
        </w:rPr>
        <w:t>https://www.macrotrends.net/2548/euro-dollar-exchange-rate-historical-chart</w:t>
      </w:r>
      <w:r w:rsidR="00237572">
        <w:rPr>
          <w:rFonts w:eastAsia="Times New Roman" w:cstheme="minorHAnsi"/>
          <w:color w:val="000000"/>
          <w:sz w:val="24"/>
          <w:szCs w:val="24"/>
        </w:rPr>
        <w:t>.</w:t>
      </w:r>
    </w:p>
    <w:p w14:paraId="28524076" w14:textId="3C8B811C" w:rsidR="00762B40" w:rsidRPr="00F92330" w:rsidRDefault="00762B40" w:rsidP="008420E0">
      <w:pPr>
        <w:spacing w:after="240" w:line="240" w:lineRule="auto"/>
        <w:rPr>
          <w:rFonts w:eastAsia="Times New Roman" w:cstheme="minorHAnsi"/>
          <w:b/>
          <w:bCs/>
          <w:color w:val="000000"/>
          <w:sz w:val="24"/>
          <w:szCs w:val="24"/>
        </w:rPr>
      </w:pPr>
      <w:r w:rsidRPr="00F92330">
        <w:rPr>
          <w:rFonts w:cstheme="minorHAnsi"/>
          <w:color w:val="212121"/>
          <w:sz w:val="24"/>
          <w:szCs w:val="24"/>
          <w:shd w:val="clear" w:color="auto" w:fill="FFFFFF"/>
        </w:rPr>
        <w:t xml:space="preserve">Mateo-Rodríguez, I., </w:t>
      </w:r>
      <w:proofErr w:type="spellStart"/>
      <w:r w:rsidRPr="00F92330">
        <w:rPr>
          <w:rFonts w:cstheme="minorHAnsi"/>
          <w:color w:val="212121"/>
          <w:sz w:val="24"/>
          <w:szCs w:val="24"/>
          <w:shd w:val="clear" w:color="auto" w:fill="FFFFFF"/>
        </w:rPr>
        <w:t>Miccoli</w:t>
      </w:r>
      <w:proofErr w:type="spellEnd"/>
      <w:r w:rsidRPr="00F92330">
        <w:rPr>
          <w:rFonts w:cstheme="minorHAnsi"/>
          <w:color w:val="212121"/>
          <w:sz w:val="24"/>
          <w:szCs w:val="24"/>
          <w:shd w:val="clear" w:color="auto" w:fill="FFFFFF"/>
        </w:rPr>
        <w:t xml:space="preserve">, L., </w:t>
      </w:r>
      <w:proofErr w:type="spellStart"/>
      <w:r w:rsidRPr="00F92330">
        <w:rPr>
          <w:rFonts w:cstheme="minorHAnsi"/>
          <w:color w:val="212121"/>
          <w:sz w:val="24"/>
          <w:szCs w:val="24"/>
          <w:shd w:val="clear" w:color="auto" w:fill="FFFFFF"/>
        </w:rPr>
        <w:t>Daponte-Codina</w:t>
      </w:r>
      <w:proofErr w:type="spellEnd"/>
      <w:r w:rsidRPr="00F92330">
        <w:rPr>
          <w:rFonts w:cstheme="minorHAnsi"/>
          <w:color w:val="212121"/>
          <w:sz w:val="24"/>
          <w:szCs w:val="24"/>
          <w:shd w:val="clear" w:color="auto" w:fill="FFFFFF"/>
        </w:rPr>
        <w:t>, A., Bolívar-Muñoz, J., Escudero-Espinosa, C., Fernández-</w:t>
      </w:r>
      <w:proofErr w:type="spellStart"/>
      <w:r w:rsidRPr="00F92330">
        <w:rPr>
          <w:rFonts w:cstheme="minorHAnsi"/>
          <w:color w:val="212121"/>
          <w:sz w:val="24"/>
          <w:szCs w:val="24"/>
          <w:shd w:val="clear" w:color="auto" w:fill="FFFFFF"/>
        </w:rPr>
        <w:t>Santaella</w:t>
      </w:r>
      <w:proofErr w:type="spellEnd"/>
      <w:r w:rsidRPr="00F92330">
        <w:rPr>
          <w:rFonts w:cstheme="minorHAnsi"/>
          <w:color w:val="212121"/>
          <w:sz w:val="24"/>
          <w:szCs w:val="24"/>
          <w:shd w:val="clear" w:color="auto" w:fill="FFFFFF"/>
        </w:rPr>
        <w:t>, M. C., Vila-Castellar, J., Robles-Ortega, H., Mata-Martín, J. L., &amp; Bernal-Solano, M. (2019). Risk of suicide in households threatened with eviction: the role of banks and social support. </w:t>
      </w:r>
      <w:r w:rsidRPr="00F92330">
        <w:rPr>
          <w:rFonts w:cstheme="minorHAnsi"/>
          <w:i/>
          <w:iCs/>
          <w:color w:val="212121"/>
          <w:sz w:val="24"/>
          <w:szCs w:val="24"/>
          <w:shd w:val="clear" w:color="auto" w:fill="FFFFFF"/>
        </w:rPr>
        <w:t>BMC public health</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19</w:t>
      </w:r>
      <w:r w:rsidRPr="00F92330">
        <w:rPr>
          <w:rFonts w:cstheme="minorHAnsi"/>
          <w:color w:val="212121"/>
          <w:sz w:val="24"/>
          <w:szCs w:val="24"/>
          <w:shd w:val="clear" w:color="auto" w:fill="FFFFFF"/>
        </w:rPr>
        <w:t>(1), 1250. https://doi.org/10.1186/s12889-019-7548-9</w:t>
      </w:r>
      <w:r w:rsidR="00237572">
        <w:rPr>
          <w:rFonts w:cstheme="minorHAnsi"/>
          <w:color w:val="212121"/>
          <w:sz w:val="24"/>
          <w:szCs w:val="24"/>
          <w:shd w:val="clear" w:color="auto" w:fill="FFFFFF"/>
        </w:rPr>
        <w:t>.</w:t>
      </w:r>
    </w:p>
    <w:p w14:paraId="767FC5EE" w14:textId="774210CD" w:rsidR="00762B40" w:rsidRPr="00F92330" w:rsidRDefault="00762B40" w:rsidP="008420E0">
      <w:pPr>
        <w:spacing w:after="240" w:line="240" w:lineRule="auto"/>
        <w:rPr>
          <w:rFonts w:cstheme="minorHAnsi"/>
          <w:sz w:val="24"/>
          <w:szCs w:val="24"/>
        </w:rPr>
      </w:pPr>
      <w:r w:rsidRPr="00F92330">
        <w:rPr>
          <w:rFonts w:cstheme="minorHAnsi"/>
          <w:sz w:val="24"/>
          <w:szCs w:val="24"/>
        </w:rPr>
        <w:t>Miller, J. J. (2021). No Free Lunch. Psychiatric Times. https://www.psychiatrictimes.com/view/no-free-lunch</w:t>
      </w:r>
      <w:r w:rsidR="00237572">
        <w:rPr>
          <w:rFonts w:cstheme="minorHAnsi"/>
          <w:sz w:val="24"/>
          <w:szCs w:val="24"/>
        </w:rPr>
        <w:t>.</w:t>
      </w:r>
    </w:p>
    <w:p w14:paraId="1ED93E37" w14:textId="2CC75CDB" w:rsidR="00762B40" w:rsidRPr="00F92330" w:rsidRDefault="00762B40" w:rsidP="008420E0">
      <w:pPr>
        <w:spacing w:after="240" w:line="240" w:lineRule="auto"/>
        <w:rPr>
          <w:rFonts w:cstheme="minorHAnsi"/>
          <w:sz w:val="24"/>
          <w:szCs w:val="24"/>
        </w:rPr>
      </w:pPr>
      <w:r w:rsidRPr="00F92330">
        <w:rPr>
          <w:rFonts w:eastAsia="Times New Roman" w:cstheme="minorHAnsi"/>
          <w:color w:val="000000"/>
          <w:sz w:val="24"/>
          <w:szCs w:val="24"/>
        </w:rPr>
        <w:t xml:space="preserve">Mitchell, H. (2019, April 25). The best way to help our homeless neighbors is to find them shelter ASAP. </w:t>
      </w:r>
      <w:proofErr w:type="spellStart"/>
      <w:r w:rsidRPr="00F92330">
        <w:rPr>
          <w:rFonts w:eastAsia="Times New Roman" w:cstheme="minorHAnsi"/>
          <w:color w:val="000000"/>
          <w:sz w:val="24"/>
          <w:szCs w:val="24"/>
        </w:rPr>
        <w:t>CalMatters</w:t>
      </w:r>
      <w:proofErr w:type="spellEnd"/>
      <w:r w:rsidRPr="00F92330">
        <w:rPr>
          <w:rFonts w:eastAsia="Times New Roman" w:cstheme="minorHAnsi"/>
          <w:color w:val="000000"/>
          <w:sz w:val="24"/>
          <w:szCs w:val="24"/>
        </w:rPr>
        <w:t>. https://calmatters.org/housing/2019/04/housing-first/</w:t>
      </w:r>
      <w:r w:rsidR="00237572">
        <w:rPr>
          <w:rFonts w:eastAsia="Times New Roman" w:cstheme="minorHAnsi"/>
          <w:color w:val="000000"/>
          <w:sz w:val="24"/>
          <w:szCs w:val="24"/>
        </w:rPr>
        <w:t>.</w:t>
      </w:r>
    </w:p>
    <w:p w14:paraId="0F34761C" w14:textId="4F8E9A6E" w:rsidR="00762B40" w:rsidRPr="00F92330" w:rsidRDefault="00762B40" w:rsidP="008420E0">
      <w:pPr>
        <w:spacing w:after="240" w:line="240" w:lineRule="auto"/>
        <w:rPr>
          <w:rFonts w:cstheme="minorHAnsi"/>
          <w:sz w:val="24"/>
          <w:szCs w:val="24"/>
        </w:rPr>
      </w:pPr>
      <w:r w:rsidRPr="00F92330">
        <w:rPr>
          <w:rFonts w:cstheme="minorHAnsi"/>
          <w:color w:val="212121"/>
          <w:sz w:val="24"/>
          <w:szCs w:val="24"/>
          <w:shd w:val="clear" w:color="auto" w:fill="FFFFFF"/>
        </w:rPr>
        <w:t xml:space="preserve">Montgomery, A. E., Cusack, M., </w:t>
      </w:r>
      <w:proofErr w:type="spellStart"/>
      <w:r w:rsidRPr="00F92330">
        <w:rPr>
          <w:rFonts w:cstheme="minorHAnsi"/>
          <w:color w:val="212121"/>
          <w:sz w:val="24"/>
          <w:szCs w:val="24"/>
          <w:shd w:val="clear" w:color="auto" w:fill="FFFFFF"/>
        </w:rPr>
        <w:t>Szymkowiak</w:t>
      </w:r>
      <w:proofErr w:type="spellEnd"/>
      <w:r w:rsidRPr="00F92330">
        <w:rPr>
          <w:rFonts w:cstheme="minorHAnsi"/>
          <w:color w:val="212121"/>
          <w:sz w:val="24"/>
          <w:szCs w:val="24"/>
          <w:shd w:val="clear" w:color="auto" w:fill="FFFFFF"/>
        </w:rPr>
        <w:t>, D., Fargo, J., &amp; O'Toole, T. (2017). Factors contributing to eviction from permanent supportive housing: Lessons from HUD-VASH. </w:t>
      </w:r>
      <w:r w:rsidRPr="00F92330">
        <w:rPr>
          <w:rFonts w:cstheme="minorHAnsi"/>
          <w:i/>
          <w:iCs/>
          <w:color w:val="212121"/>
          <w:sz w:val="24"/>
          <w:szCs w:val="24"/>
          <w:shd w:val="clear" w:color="auto" w:fill="FFFFFF"/>
        </w:rPr>
        <w:t>Evaluation and program planning</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61</w:t>
      </w:r>
      <w:r w:rsidRPr="00F92330">
        <w:rPr>
          <w:rFonts w:cstheme="minorHAnsi"/>
          <w:color w:val="212121"/>
          <w:sz w:val="24"/>
          <w:szCs w:val="24"/>
          <w:shd w:val="clear" w:color="auto" w:fill="FFFFFF"/>
        </w:rPr>
        <w:t>, 55–63. https://doi.org/10.1016/j.evalprogplan.2016.11.014</w:t>
      </w:r>
      <w:r w:rsidR="00237572">
        <w:rPr>
          <w:rFonts w:cstheme="minorHAnsi"/>
          <w:color w:val="212121"/>
          <w:sz w:val="24"/>
          <w:szCs w:val="24"/>
          <w:shd w:val="clear" w:color="auto" w:fill="FFFFFF"/>
        </w:rPr>
        <w:t>.</w:t>
      </w:r>
    </w:p>
    <w:p w14:paraId="6AA3D780" w14:textId="0F0BB795" w:rsidR="00762B40" w:rsidRPr="00F92330" w:rsidRDefault="00762B40" w:rsidP="008420E0">
      <w:pPr>
        <w:spacing w:after="240" w:line="240" w:lineRule="auto"/>
        <w:rPr>
          <w:rFonts w:cstheme="minorHAnsi"/>
          <w:sz w:val="24"/>
          <w:szCs w:val="24"/>
        </w:rPr>
      </w:pPr>
      <w:r w:rsidRPr="00F92330">
        <w:rPr>
          <w:rFonts w:cstheme="minorHAnsi"/>
          <w:sz w:val="24"/>
          <w:szCs w:val="24"/>
        </w:rPr>
        <w:t>NEAH (2019). What Housing First Really Means. National Alliance to End Homelessness. https://endhomelessness.org/what-housing-first-really-means/</w:t>
      </w:r>
      <w:r w:rsidR="00237572">
        <w:rPr>
          <w:rFonts w:cstheme="minorHAnsi"/>
          <w:sz w:val="24"/>
          <w:szCs w:val="24"/>
        </w:rPr>
        <w:t>.</w:t>
      </w:r>
    </w:p>
    <w:p w14:paraId="2A8F46B5" w14:textId="59683D7D" w:rsidR="00762B40" w:rsidRPr="00F92330" w:rsidRDefault="00762B40" w:rsidP="008420E0">
      <w:pPr>
        <w:spacing w:after="240" w:line="240" w:lineRule="auto"/>
        <w:rPr>
          <w:rFonts w:cstheme="minorHAnsi"/>
          <w:color w:val="303030"/>
          <w:sz w:val="24"/>
          <w:szCs w:val="24"/>
          <w:shd w:val="clear" w:color="auto" w:fill="FFFFFF"/>
        </w:rPr>
      </w:pPr>
      <w:proofErr w:type="spellStart"/>
      <w:r w:rsidRPr="00F92330">
        <w:rPr>
          <w:rFonts w:cstheme="minorHAnsi"/>
          <w:color w:val="303030"/>
          <w:sz w:val="24"/>
          <w:szCs w:val="24"/>
          <w:shd w:val="clear" w:color="auto" w:fill="FFFFFF"/>
        </w:rPr>
        <w:lastRenderedPageBreak/>
        <w:t>Osypuk</w:t>
      </w:r>
      <w:proofErr w:type="spellEnd"/>
      <w:r w:rsidRPr="00F92330">
        <w:rPr>
          <w:rFonts w:cstheme="minorHAnsi"/>
          <w:color w:val="303030"/>
          <w:sz w:val="24"/>
          <w:szCs w:val="24"/>
          <w:shd w:val="clear" w:color="auto" w:fill="FFFFFF"/>
        </w:rPr>
        <w:t xml:space="preserve">, T. L., Caldwell, C. H., Platt, R. W., &amp; </w:t>
      </w:r>
      <w:proofErr w:type="spellStart"/>
      <w:r w:rsidRPr="00F92330">
        <w:rPr>
          <w:rFonts w:cstheme="minorHAnsi"/>
          <w:color w:val="303030"/>
          <w:sz w:val="24"/>
          <w:szCs w:val="24"/>
          <w:shd w:val="clear" w:color="auto" w:fill="FFFFFF"/>
        </w:rPr>
        <w:t>Misra</w:t>
      </w:r>
      <w:proofErr w:type="spellEnd"/>
      <w:r w:rsidRPr="00F92330">
        <w:rPr>
          <w:rFonts w:cstheme="minorHAnsi"/>
          <w:color w:val="303030"/>
          <w:sz w:val="24"/>
          <w:szCs w:val="24"/>
          <w:shd w:val="clear" w:color="auto" w:fill="FFFFFF"/>
        </w:rPr>
        <w:t>, D. P. (2012). The consequences of foreclosure for depressive symptomatology. </w:t>
      </w:r>
      <w:r w:rsidRPr="00F92330">
        <w:rPr>
          <w:rFonts w:cstheme="minorHAnsi"/>
          <w:i/>
          <w:iCs/>
          <w:color w:val="303030"/>
          <w:sz w:val="24"/>
          <w:szCs w:val="24"/>
          <w:shd w:val="clear" w:color="auto" w:fill="FFFFFF"/>
        </w:rPr>
        <w:t>Annals of epidemiology</w:t>
      </w:r>
      <w:r w:rsidRPr="00F92330">
        <w:rPr>
          <w:rFonts w:cstheme="minorHAnsi"/>
          <w:color w:val="303030"/>
          <w:sz w:val="24"/>
          <w:szCs w:val="24"/>
          <w:shd w:val="clear" w:color="auto" w:fill="FFFFFF"/>
        </w:rPr>
        <w:t>, </w:t>
      </w:r>
      <w:r w:rsidRPr="00F92330">
        <w:rPr>
          <w:rFonts w:cstheme="minorHAnsi"/>
          <w:i/>
          <w:iCs/>
          <w:color w:val="303030"/>
          <w:sz w:val="24"/>
          <w:szCs w:val="24"/>
          <w:shd w:val="clear" w:color="auto" w:fill="FFFFFF"/>
        </w:rPr>
        <w:t>22</w:t>
      </w:r>
      <w:r w:rsidRPr="00F92330">
        <w:rPr>
          <w:rFonts w:cstheme="minorHAnsi"/>
          <w:color w:val="303030"/>
          <w:sz w:val="24"/>
          <w:szCs w:val="24"/>
          <w:shd w:val="clear" w:color="auto" w:fill="FFFFFF"/>
        </w:rPr>
        <w:t xml:space="preserve">(6), 379–387. </w:t>
      </w:r>
      <w:r w:rsidRPr="00F92330">
        <w:rPr>
          <w:rFonts w:cstheme="minorHAnsi"/>
          <w:sz w:val="24"/>
          <w:szCs w:val="24"/>
          <w:shd w:val="clear" w:color="auto" w:fill="FFFFFF"/>
        </w:rPr>
        <w:t>https://doi.org/10.1016/j.annepidem.2012.04.012</w:t>
      </w:r>
      <w:r w:rsidR="00237572">
        <w:rPr>
          <w:rFonts w:cstheme="minorHAnsi"/>
          <w:sz w:val="24"/>
          <w:szCs w:val="24"/>
          <w:shd w:val="clear" w:color="auto" w:fill="FFFFFF"/>
        </w:rPr>
        <w:t>.</w:t>
      </w:r>
    </w:p>
    <w:p w14:paraId="5598553C" w14:textId="38A97E8A" w:rsidR="00762B40" w:rsidRPr="00F92330" w:rsidRDefault="00762B40" w:rsidP="008420E0">
      <w:pPr>
        <w:spacing w:after="240" w:line="240" w:lineRule="auto"/>
        <w:rPr>
          <w:rFonts w:cstheme="minorHAnsi"/>
          <w:sz w:val="24"/>
          <w:szCs w:val="24"/>
        </w:rPr>
      </w:pPr>
      <w:r w:rsidRPr="00F92330">
        <w:rPr>
          <w:rFonts w:cstheme="minorHAnsi"/>
          <w:sz w:val="24"/>
          <w:szCs w:val="24"/>
        </w:rPr>
        <w:t>Peters, A. (2021, January 6). This California city just ended chronic homelessness. Fast Company. https://www.fastcompany.com/90591154/this-california-city-just-ended-chronic-homelessness</w:t>
      </w:r>
      <w:r w:rsidR="00237572">
        <w:rPr>
          <w:rFonts w:cstheme="minorHAnsi"/>
          <w:sz w:val="24"/>
          <w:szCs w:val="24"/>
        </w:rPr>
        <w:t>.</w:t>
      </w:r>
    </w:p>
    <w:p w14:paraId="500AC393" w14:textId="0034D891" w:rsidR="00762B40" w:rsidRPr="00F92330" w:rsidRDefault="00762B40" w:rsidP="008420E0">
      <w:pPr>
        <w:spacing w:after="240" w:line="240" w:lineRule="auto"/>
        <w:rPr>
          <w:rFonts w:cstheme="minorHAnsi"/>
          <w:sz w:val="24"/>
          <w:szCs w:val="24"/>
        </w:rPr>
      </w:pPr>
      <w:r w:rsidRPr="00F92330">
        <w:rPr>
          <w:rFonts w:cstheme="minorHAnsi"/>
          <w:color w:val="212121"/>
          <w:sz w:val="24"/>
          <w:szCs w:val="24"/>
          <w:shd w:val="clear" w:color="auto" w:fill="FFFFFF"/>
        </w:rPr>
        <w:t xml:space="preserve">Phinney, R., Danziger, S., Pollack, H. A., &amp; </w:t>
      </w:r>
      <w:proofErr w:type="spellStart"/>
      <w:r w:rsidRPr="00F92330">
        <w:rPr>
          <w:rFonts w:cstheme="minorHAnsi"/>
          <w:color w:val="212121"/>
          <w:sz w:val="24"/>
          <w:szCs w:val="24"/>
          <w:shd w:val="clear" w:color="auto" w:fill="FFFFFF"/>
        </w:rPr>
        <w:t>Seefeldt</w:t>
      </w:r>
      <w:proofErr w:type="spellEnd"/>
      <w:r w:rsidRPr="00F92330">
        <w:rPr>
          <w:rFonts w:cstheme="minorHAnsi"/>
          <w:color w:val="212121"/>
          <w:sz w:val="24"/>
          <w:szCs w:val="24"/>
          <w:shd w:val="clear" w:color="auto" w:fill="FFFFFF"/>
        </w:rPr>
        <w:t>, K. (2007). Housing instability among current and former welfare recipients. </w:t>
      </w:r>
      <w:r w:rsidRPr="00F92330">
        <w:rPr>
          <w:rFonts w:cstheme="minorHAnsi"/>
          <w:i/>
          <w:iCs/>
          <w:color w:val="212121"/>
          <w:sz w:val="24"/>
          <w:szCs w:val="24"/>
          <w:shd w:val="clear" w:color="auto" w:fill="FFFFFF"/>
        </w:rPr>
        <w:t>American journal of public health</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97</w:t>
      </w:r>
      <w:r w:rsidRPr="00F92330">
        <w:rPr>
          <w:rFonts w:cstheme="minorHAnsi"/>
          <w:color w:val="212121"/>
          <w:sz w:val="24"/>
          <w:szCs w:val="24"/>
          <w:shd w:val="clear" w:color="auto" w:fill="FFFFFF"/>
        </w:rPr>
        <w:t>(5), 832–837. https://doi.org/10.2105/AJPH.2005.082677</w:t>
      </w:r>
      <w:r w:rsidR="00237572">
        <w:rPr>
          <w:rFonts w:cstheme="minorHAnsi"/>
          <w:color w:val="212121"/>
          <w:sz w:val="24"/>
          <w:szCs w:val="24"/>
          <w:shd w:val="clear" w:color="auto" w:fill="FFFFFF"/>
        </w:rPr>
        <w:t>.</w:t>
      </w:r>
    </w:p>
    <w:p w14:paraId="47FDC401" w14:textId="46ECA9A4" w:rsidR="00762B40" w:rsidRPr="00F92330" w:rsidRDefault="00762B40" w:rsidP="008420E0">
      <w:pPr>
        <w:spacing w:after="240" w:line="240" w:lineRule="auto"/>
        <w:rPr>
          <w:rFonts w:cstheme="minorHAnsi"/>
          <w:sz w:val="24"/>
          <w:szCs w:val="24"/>
        </w:rPr>
      </w:pPr>
      <w:proofErr w:type="spellStart"/>
      <w:r w:rsidRPr="00F92330">
        <w:rPr>
          <w:rFonts w:cstheme="minorHAnsi"/>
          <w:sz w:val="24"/>
          <w:szCs w:val="24"/>
        </w:rPr>
        <w:t>Piat</w:t>
      </w:r>
      <w:proofErr w:type="spellEnd"/>
      <w:r w:rsidRPr="00F92330">
        <w:rPr>
          <w:rFonts w:cstheme="minorHAnsi"/>
          <w:sz w:val="24"/>
          <w:szCs w:val="24"/>
        </w:rPr>
        <w:t xml:space="preserve">, M., </w:t>
      </w:r>
      <w:proofErr w:type="spellStart"/>
      <w:r w:rsidRPr="00F92330">
        <w:rPr>
          <w:rFonts w:cstheme="minorHAnsi"/>
          <w:sz w:val="24"/>
          <w:szCs w:val="24"/>
        </w:rPr>
        <w:t>Polvere</w:t>
      </w:r>
      <w:proofErr w:type="spellEnd"/>
      <w:r w:rsidRPr="00F92330">
        <w:rPr>
          <w:rFonts w:cstheme="minorHAnsi"/>
          <w:sz w:val="24"/>
          <w:szCs w:val="24"/>
        </w:rPr>
        <w:t xml:space="preserve">, L., Kirst, M., </w:t>
      </w:r>
      <w:proofErr w:type="spellStart"/>
      <w:r w:rsidRPr="00F92330">
        <w:rPr>
          <w:rFonts w:cstheme="minorHAnsi"/>
          <w:sz w:val="24"/>
          <w:szCs w:val="24"/>
        </w:rPr>
        <w:t>Voronka</w:t>
      </w:r>
      <w:proofErr w:type="spellEnd"/>
      <w:r w:rsidRPr="00F92330">
        <w:rPr>
          <w:rFonts w:cstheme="minorHAnsi"/>
          <w:sz w:val="24"/>
          <w:szCs w:val="24"/>
        </w:rPr>
        <w:t xml:space="preserve">, J., </w:t>
      </w:r>
      <w:proofErr w:type="spellStart"/>
      <w:r w:rsidRPr="00F92330">
        <w:rPr>
          <w:rFonts w:cstheme="minorHAnsi"/>
          <w:sz w:val="24"/>
          <w:szCs w:val="24"/>
        </w:rPr>
        <w:t>Zabkiewicz</w:t>
      </w:r>
      <w:proofErr w:type="spellEnd"/>
      <w:r w:rsidRPr="00F92330">
        <w:rPr>
          <w:rFonts w:cstheme="minorHAnsi"/>
          <w:sz w:val="24"/>
          <w:szCs w:val="24"/>
        </w:rPr>
        <w:t>, D., Plante, M.-C., Isaak, C., Nolin, D., Nelson, G., &amp; Goering, P. (2015). Pathways into homelessness: Understanding how both individual and structural factors contribute to and sustain homelessness in Canada. Urban Studies, 52(13), 2366–2382. https://doi.org/10.1177/0042098014548138</w:t>
      </w:r>
      <w:r w:rsidR="00237572">
        <w:rPr>
          <w:rFonts w:cstheme="minorHAnsi"/>
          <w:sz w:val="24"/>
          <w:szCs w:val="24"/>
        </w:rPr>
        <w:t>.</w:t>
      </w:r>
    </w:p>
    <w:p w14:paraId="6D553FE4" w14:textId="0A0D9A7F" w:rsidR="00762B40" w:rsidRPr="00F92330" w:rsidRDefault="00762B40" w:rsidP="008420E0">
      <w:pPr>
        <w:spacing w:after="240" w:line="240" w:lineRule="auto"/>
        <w:rPr>
          <w:rFonts w:eastAsia="Times New Roman" w:cstheme="minorHAnsi"/>
          <w:b/>
          <w:bCs/>
          <w:color w:val="000000"/>
          <w:sz w:val="24"/>
          <w:szCs w:val="24"/>
        </w:rPr>
      </w:pPr>
      <w:r w:rsidRPr="00F92330">
        <w:rPr>
          <w:rFonts w:cstheme="minorHAnsi"/>
          <w:color w:val="212121"/>
          <w:sz w:val="24"/>
          <w:szCs w:val="24"/>
          <w:shd w:val="clear" w:color="auto" w:fill="FFFFFF"/>
        </w:rPr>
        <w:t>Robles-Ortega, H., Guerra, P., González-</w:t>
      </w:r>
      <w:proofErr w:type="spellStart"/>
      <w:r w:rsidRPr="00F92330">
        <w:rPr>
          <w:rFonts w:cstheme="minorHAnsi"/>
          <w:color w:val="212121"/>
          <w:sz w:val="24"/>
          <w:szCs w:val="24"/>
          <w:shd w:val="clear" w:color="auto" w:fill="FFFFFF"/>
        </w:rPr>
        <w:t>Usera</w:t>
      </w:r>
      <w:proofErr w:type="spellEnd"/>
      <w:r w:rsidRPr="00F92330">
        <w:rPr>
          <w:rFonts w:cstheme="minorHAnsi"/>
          <w:color w:val="212121"/>
          <w:sz w:val="24"/>
          <w:szCs w:val="24"/>
          <w:shd w:val="clear" w:color="auto" w:fill="FFFFFF"/>
        </w:rPr>
        <w:t>, I., Mata-Martín, J. L., Fernández-</w:t>
      </w:r>
      <w:proofErr w:type="spellStart"/>
      <w:r w:rsidRPr="00F92330">
        <w:rPr>
          <w:rFonts w:cstheme="minorHAnsi"/>
          <w:color w:val="212121"/>
          <w:sz w:val="24"/>
          <w:szCs w:val="24"/>
          <w:shd w:val="clear" w:color="auto" w:fill="FFFFFF"/>
        </w:rPr>
        <w:t>Santaella</w:t>
      </w:r>
      <w:proofErr w:type="spellEnd"/>
      <w:r w:rsidRPr="00F92330">
        <w:rPr>
          <w:rFonts w:cstheme="minorHAnsi"/>
          <w:color w:val="212121"/>
          <w:sz w:val="24"/>
          <w:szCs w:val="24"/>
          <w:shd w:val="clear" w:color="auto" w:fill="FFFFFF"/>
        </w:rPr>
        <w:t xml:space="preserve">, M. C., Vila, J., Bolívar-Muñoz, J., Bernal-Solano, M., Mateo-Rodríguez, I., &amp; </w:t>
      </w:r>
      <w:proofErr w:type="spellStart"/>
      <w:r w:rsidRPr="00F92330">
        <w:rPr>
          <w:rFonts w:cstheme="minorHAnsi"/>
          <w:color w:val="212121"/>
          <w:sz w:val="24"/>
          <w:szCs w:val="24"/>
          <w:shd w:val="clear" w:color="auto" w:fill="FFFFFF"/>
        </w:rPr>
        <w:t>Daponte-Codina</w:t>
      </w:r>
      <w:proofErr w:type="spellEnd"/>
      <w:r w:rsidRPr="00F92330">
        <w:rPr>
          <w:rFonts w:cstheme="minorHAnsi"/>
          <w:color w:val="212121"/>
          <w:sz w:val="24"/>
          <w:szCs w:val="24"/>
          <w:shd w:val="clear" w:color="auto" w:fill="FFFFFF"/>
        </w:rPr>
        <w:t>, A. (2017). Post-Traumatic Stress Disorder Symptomatology in People affected by Home Eviction in Spain. </w:t>
      </w:r>
      <w:r w:rsidRPr="00F92330">
        <w:rPr>
          <w:rFonts w:cstheme="minorHAnsi"/>
          <w:i/>
          <w:iCs/>
          <w:color w:val="212121"/>
          <w:sz w:val="24"/>
          <w:szCs w:val="24"/>
          <w:shd w:val="clear" w:color="auto" w:fill="FFFFFF"/>
        </w:rPr>
        <w:t>The Spanish journal of psychology</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20</w:t>
      </w:r>
      <w:r w:rsidRPr="00F92330">
        <w:rPr>
          <w:rFonts w:cstheme="minorHAnsi"/>
          <w:color w:val="212121"/>
          <w:sz w:val="24"/>
          <w:szCs w:val="24"/>
          <w:shd w:val="clear" w:color="auto" w:fill="FFFFFF"/>
        </w:rPr>
        <w:t>, E57. https://doi.org/10.1017/sjp.2017.56</w:t>
      </w:r>
      <w:r w:rsidR="00237572">
        <w:rPr>
          <w:rFonts w:eastAsia="Times New Roman" w:cstheme="minorHAnsi"/>
          <w:b/>
          <w:bCs/>
          <w:color w:val="000000"/>
          <w:sz w:val="24"/>
          <w:szCs w:val="24"/>
        </w:rPr>
        <w:t>.</w:t>
      </w:r>
    </w:p>
    <w:p w14:paraId="7A80EC62" w14:textId="56EE676E" w:rsidR="00762B40" w:rsidRPr="00F92330" w:rsidRDefault="00762B40" w:rsidP="008420E0">
      <w:pPr>
        <w:spacing w:after="240" w:line="240" w:lineRule="auto"/>
        <w:rPr>
          <w:rFonts w:eastAsia="Times New Roman" w:cstheme="minorHAnsi"/>
          <w:color w:val="000000"/>
          <w:sz w:val="24"/>
          <w:szCs w:val="24"/>
        </w:rPr>
      </w:pPr>
      <w:r w:rsidRPr="00F92330">
        <w:rPr>
          <w:rFonts w:eastAsia="Times New Roman" w:cstheme="minorHAnsi"/>
          <w:color w:val="000000"/>
          <w:sz w:val="24"/>
          <w:szCs w:val="24"/>
        </w:rPr>
        <w:t xml:space="preserve">Rodriguez-Pose, A. </w:t>
      </w:r>
      <w:proofErr w:type="spellStart"/>
      <w:r w:rsidRPr="00F92330">
        <w:rPr>
          <w:rFonts w:eastAsia="Times New Roman" w:cstheme="minorHAnsi"/>
          <w:color w:val="000000"/>
          <w:sz w:val="24"/>
          <w:szCs w:val="24"/>
        </w:rPr>
        <w:t>Storper</w:t>
      </w:r>
      <w:proofErr w:type="spellEnd"/>
      <w:r w:rsidRPr="00F92330">
        <w:rPr>
          <w:rFonts w:eastAsia="Times New Roman" w:cstheme="minorHAnsi"/>
          <w:color w:val="000000"/>
          <w:sz w:val="24"/>
          <w:szCs w:val="24"/>
        </w:rPr>
        <w:t>, M. (2019). We cannot build our way out of inequality. VOX EU/ CEPR. https://voxeu.org/article/we-cannot-build-our-way-out-inequality</w:t>
      </w:r>
      <w:r w:rsidR="00237572">
        <w:rPr>
          <w:rFonts w:eastAsia="Times New Roman" w:cstheme="minorHAnsi"/>
          <w:color w:val="000000"/>
          <w:sz w:val="24"/>
          <w:szCs w:val="24"/>
        </w:rPr>
        <w:t>.</w:t>
      </w:r>
    </w:p>
    <w:p w14:paraId="3EF974CC" w14:textId="01AFF8F4" w:rsidR="00762B40" w:rsidRPr="00F92330" w:rsidRDefault="00762B40" w:rsidP="008420E0">
      <w:pPr>
        <w:spacing w:after="240" w:line="240" w:lineRule="auto"/>
        <w:rPr>
          <w:rFonts w:eastAsia="Times New Roman" w:cstheme="minorHAnsi"/>
          <w:color w:val="000000"/>
          <w:sz w:val="24"/>
          <w:szCs w:val="24"/>
        </w:rPr>
      </w:pPr>
      <w:r w:rsidRPr="00F92330">
        <w:rPr>
          <w:rFonts w:cstheme="minorHAnsi"/>
          <w:color w:val="212121"/>
          <w:sz w:val="24"/>
          <w:szCs w:val="24"/>
          <w:shd w:val="clear" w:color="auto" w:fill="FFFFFF"/>
        </w:rPr>
        <w:t>Rojas, Y., &amp; Stenberg, S. Å. (2016). Evictions and suicide: a follow-up study of almost 22,000 Swedish households in the wake of the global financial crisis. </w:t>
      </w:r>
      <w:r w:rsidRPr="00F92330">
        <w:rPr>
          <w:rFonts w:cstheme="minorHAnsi"/>
          <w:i/>
          <w:iCs/>
          <w:color w:val="212121"/>
          <w:sz w:val="24"/>
          <w:szCs w:val="24"/>
          <w:shd w:val="clear" w:color="auto" w:fill="FFFFFF"/>
        </w:rPr>
        <w:t>Journal of epidemiology and community health</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70</w:t>
      </w:r>
      <w:r w:rsidRPr="00F92330">
        <w:rPr>
          <w:rFonts w:cstheme="minorHAnsi"/>
          <w:color w:val="212121"/>
          <w:sz w:val="24"/>
          <w:szCs w:val="24"/>
          <w:shd w:val="clear" w:color="auto" w:fill="FFFFFF"/>
        </w:rPr>
        <w:t>(4), 409–413. https://doi.org/10.1136/jech-2015-206419</w:t>
      </w:r>
      <w:r w:rsidR="00237572">
        <w:rPr>
          <w:rFonts w:cstheme="minorHAnsi"/>
          <w:color w:val="212121"/>
          <w:sz w:val="24"/>
          <w:szCs w:val="24"/>
          <w:shd w:val="clear" w:color="auto" w:fill="FFFFFF"/>
        </w:rPr>
        <w:t>.</w:t>
      </w:r>
    </w:p>
    <w:p w14:paraId="03028011" w14:textId="2E2CA483" w:rsidR="00762B40" w:rsidRPr="00F92330" w:rsidRDefault="00762B40" w:rsidP="008420E0">
      <w:pPr>
        <w:spacing w:after="240" w:line="240" w:lineRule="auto"/>
        <w:rPr>
          <w:rFonts w:cstheme="minorHAnsi"/>
          <w:sz w:val="24"/>
          <w:szCs w:val="24"/>
        </w:rPr>
      </w:pPr>
      <w:r w:rsidRPr="00F92330">
        <w:rPr>
          <w:rFonts w:cstheme="minorHAnsi"/>
          <w:sz w:val="24"/>
          <w:szCs w:val="24"/>
        </w:rPr>
        <w:t>Semuels, A. (2019, April 8). How Wall Street Bought Up America’s Homes. The Atlantic. https://www.theatlantic.com/technology/archive/2019/02/single-family-landlords-wall-street/582394/</w:t>
      </w:r>
      <w:r w:rsidR="00237572">
        <w:rPr>
          <w:rFonts w:cstheme="minorHAnsi"/>
          <w:sz w:val="24"/>
          <w:szCs w:val="24"/>
        </w:rPr>
        <w:t>.</w:t>
      </w:r>
    </w:p>
    <w:p w14:paraId="11F7CA5F" w14:textId="3CF8C1B9" w:rsidR="00762B40" w:rsidRPr="00F92330" w:rsidRDefault="00762B40" w:rsidP="008420E0">
      <w:pPr>
        <w:spacing w:after="240" w:line="240" w:lineRule="auto"/>
        <w:rPr>
          <w:rFonts w:cstheme="minorHAnsi"/>
          <w:color w:val="212121"/>
          <w:sz w:val="24"/>
          <w:szCs w:val="24"/>
          <w:shd w:val="clear" w:color="auto" w:fill="FFFFFF"/>
        </w:rPr>
      </w:pPr>
      <w:r w:rsidRPr="00F92330">
        <w:rPr>
          <w:rFonts w:cstheme="minorHAnsi"/>
          <w:color w:val="212121"/>
          <w:sz w:val="24"/>
          <w:szCs w:val="24"/>
          <w:shd w:val="clear" w:color="auto" w:fill="FFFFFF"/>
        </w:rPr>
        <w:t>Singh, A., Daniel, L., Baker, E., &amp; Bentley, R. (2019). Housing Disadvantage and Poor Mental Health: A Systematic Review. </w:t>
      </w:r>
      <w:r w:rsidRPr="00F92330">
        <w:rPr>
          <w:rFonts w:cstheme="minorHAnsi"/>
          <w:i/>
          <w:iCs/>
          <w:color w:val="212121"/>
          <w:sz w:val="24"/>
          <w:szCs w:val="24"/>
          <w:shd w:val="clear" w:color="auto" w:fill="FFFFFF"/>
        </w:rPr>
        <w:t>American journal of preventive medicine</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57</w:t>
      </w:r>
      <w:r w:rsidRPr="00F92330">
        <w:rPr>
          <w:rFonts w:cstheme="minorHAnsi"/>
          <w:color w:val="212121"/>
          <w:sz w:val="24"/>
          <w:szCs w:val="24"/>
          <w:shd w:val="clear" w:color="auto" w:fill="FFFFFF"/>
        </w:rPr>
        <w:t>(2), 262–272. https://doi.org/10.1016/j.amepre.2019.03.018</w:t>
      </w:r>
      <w:r w:rsidR="00237572">
        <w:rPr>
          <w:rFonts w:cstheme="minorHAnsi"/>
          <w:color w:val="212121"/>
          <w:sz w:val="24"/>
          <w:szCs w:val="24"/>
          <w:shd w:val="clear" w:color="auto" w:fill="FFFFFF"/>
        </w:rPr>
        <w:t>.</w:t>
      </w:r>
    </w:p>
    <w:p w14:paraId="6A1B48D9" w14:textId="0335AB49" w:rsidR="00762B40" w:rsidRPr="00F92330" w:rsidRDefault="00762B40" w:rsidP="008420E0">
      <w:pPr>
        <w:spacing w:after="240" w:line="240" w:lineRule="auto"/>
        <w:rPr>
          <w:rFonts w:cstheme="minorHAnsi"/>
          <w:sz w:val="24"/>
          <w:szCs w:val="24"/>
        </w:rPr>
      </w:pPr>
      <w:r w:rsidRPr="00F92330">
        <w:rPr>
          <w:rFonts w:eastAsia="Times New Roman" w:cstheme="minorHAnsi"/>
          <w:color w:val="000000"/>
          <w:sz w:val="24"/>
          <w:szCs w:val="24"/>
        </w:rPr>
        <w:t xml:space="preserve">State of California. (1950). Article 34 of the California Constitution. </w:t>
      </w:r>
      <w:r w:rsidRPr="00F92330">
        <w:rPr>
          <w:rFonts w:cstheme="minorHAnsi"/>
          <w:sz w:val="24"/>
          <w:szCs w:val="24"/>
        </w:rPr>
        <w:t>https://leginfo.legislature.ca.gov/faces/codes_displayText.xhtml?lawCode=CONS&amp;division=&amp;title=&amp;part=&amp;chapter=&amp;article=XXXIV</w:t>
      </w:r>
      <w:r w:rsidR="00237572">
        <w:rPr>
          <w:rFonts w:cstheme="minorHAnsi"/>
          <w:sz w:val="24"/>
          <w:szCs w:val="24"/>
        </w:rPr>
        <w:t>.</w:t>
      </w:r>
    </w:p>
    <w:p w14:paraId="33C68F5D" w14:textId="46429407" w:rsidR="00762B40" w:rsidRPr="00F92330" w:rsidRDefault="00762B40" w:rsidP="008420E0">
      <w:pPr>
        <w:spacing w:after="240" w:line="240" w:lineRule="auto"/>
        <w:rPr>
          <w:rFonts w:eastAsia="Times New Roman" w:cstheme="minorHAnsi"/>
          <w:color w:val="000000"/>
          <w:sz w:val="24"/>
          <w:szCs w:val="24"/>
        </w:rPr>
      </w:pPr>
      <w:r w:rsidRPr="00F92330">
        <w:rPr>
          <w:rFonts w:eastAsia="Times New Roman" w:cstheme="minorHAnsi"/>
          <w:color w:val="000000"/>
          <w:sz w:val="24"/>
          <w:szCs w:val="24"/>
        </w:rPr>
        <w:t>State of California. (2019). AB-1482 Tenant Protection Act of 2019: tenancy: rent caps. California Legislative Information. https://leginfo.legislature.ca.gov/faces/billTextClient.xhtml?bill_id=201920200AB1482</w:t>
      </w:r>
      <w:r w:rsidR="00237572">
        <w:rPr>
          <w:rFonts w:eastAsia="Times New Roman" w:cstheme="minorHAnsi"/>
          <w:color w:val="000000"/>
          <w:sz w:val="24"/>
          <w:szCs w:val="24"/>
        </w:rPr>
        <w:t>.</w:t>
      </w:r>
    </w:p>
    <w:p w14:paraId="6376B727" w14:textId="0F2980E5" w:rsidR="00762B40" w:rsidRPr="00F92330" w:rsidRDefault="00762B40" w:rsidP="008420E0">
      <w:pPr>
        <w:spacing w:after="240" w:line="240" w:lineRule="auto"/>
        <w:rPr>
          <w:rFonts w:cstheme="minorHAnsi"/>
          <w:sz w:val="24"/>
          <w:szCs w:val="24"/>
        </w:rPr>
      </w:pPr>
      <w:r w:rsidRPr="00F92330">
        <w:rPr>
          <w:rFonts w:cstheme="minorHAnsi"/>
          <w:sz w:val="24"/>
          <w:szCs w:val="24"/>
        </w:rPr>
        <w:lastRenderedPageBreak/>
        <w:t>The U.S. Has National Shortage of More Than 7.2 Million Affordable &amp;amp; Available Rental Homes for Families Most in Need. National Low Income Housing Coalition. (2018, March 13). https://nlihc.org/news/us-has-national-shortage-more-72-million-affordable-available-rental-homes-families-most-need</w:t>
      </w:r>
      <w:r w:rsidR="00237572">
        <w:rPr>
          <w:rFonts w:cstheme="minorHAnsi"/>
          <w:sz w:val="24"/>
          <w:szCs w:val="24"/>
        </w:rPr>
        <w:t>.</w:t>
      </w:r>
      <w:r w:rsidRPr="00F92330">
        <w:rPr>
          <w:rFonts w:cstheme="minorHAnsi"/>
          <w:sz w:val="24"/>
          <w:szCs w:val="24"/>
        </w:rPr>
        <w:t xml:space="preserve"> </w:t>
      </w:r>
    </w:p>
    <w:p w14:paraId="5C5D413C" w14:textId="2C664082" w:rsidR="00762B40" w:rsidRPr="00F92330" w:rsidRDefault="00762B40" w:rsidP="008420E0">
      <w:pPr>
        <w:spacing w:after="240" w:line="240" w:lineRule="auto"/>
        <w:rPr>
          <w:rFonts w:eastAsia="Times New Roman" w:cstheme="minorHAnsi"/>
          <w:color w:val="000000"/>
          <w:sz w:val="24"/>
          <w:szCs w:val="24"/>
        </w:rPr>
      </w:pPr>
      <w:proofErr w:type="spellStart"/>
      <w:r w:rsidRPr="00F92330">
        <w:rPr>
          <w:rFonts w:cstheme="minorHAnsi"/>
          <w:sz w:val="24"/>
          <w:szCs w:val="24"/>
        </w:rPr>
        <w:t>Trewern</w:t>
      </w:r>
      <w:proofErr w:type="spellEnd"/>
      <w:r w:rsidRPr="00F92330">
        <w:rPr>
          <w:rFonts w:cstheme="minorHAnsi"/>
          <w:sz w:val="24"/>
          <w:szCs w:val="24"/>
        </w:rPr>
        <w:t>, B. M. (2019, January 31). The city with no homeless on its streets. BBC News. https://www.bbc.com/news/uk-england-46891392</w:t>
      </w:r>
      <w:r w:rsidR="00237572">
        <w:rPr>
          <w:rFonts w:cstheme="minorHAnsi"/>
          <w:sz w:val="24"/>
          <w:szCs w:val="24"/>
        </w:rPr>
        <w:t>.</w:t>
      </w:r>
    </w:p>
    <w:p w14:paraId="009C947C" w14:textId="595C7CB8" w:rsidR="00762B40" w:rsidRPr="00F92330" w:rsidRDefault="00762B40" w:rsidP="008420E0">
      <w:pPr>
        <w:spacing w:after="240" w:line="240" w:lineRule="auto"/>
        <w:rPr>
          <w:rFonts w:eastAsia="Times New Roman" w:cstheme="minorHAnsi"/>
          <w:b/>
          <w:bCs/>
          <w:color w:val="000000"/>
          <w:sz w:val="24"/>
          <w:szCs w:val="24"/>
        </w:rPr>
      </w:pPr>
      <w:r w:rsidRPr="00F92330">
        <w:rPr>
          <w:rFonts w:cstheme="minorHAnsi"/>
          <w:sz w:val="24"/>
          <w:szCs w:val="24"/>
        </w:rPr>
        <w:t xml:space="preserve">Tsai et al, 2015: Tsai AC (2015) Home Foreclosure, Health, and Mental Health: A Systematic Review of Individual, Aggregate, and Contextual Associations. </w:t>
      </w:r>
      <w:proofErr w:type="spellStart"/>
      <w:r w:rsidRPr="00F92330">
        <w:rPr>
          <w:rFonts w:cstheme="minorHAnsi"/>
          <w:sz w:val="24"/>
          <w:szCs w:val="24"/>
        </w:rPr>
        <w:t>PLoS</w:t>
      </w:r>
      <w:proofErr w:type="spellEnd"/>
      <w:r w:rsidRPr="00F92330">
        <w:rPr>
          <w:rFonts w:cstheme="minorHAnsi"/>
          <w:sz w:val="24"/>
          <w:szCs w:val="24"/>
        </w:rPr>
        <w:t xml:space="preserve"> ONE 10(4): e0123182. doi:10.1371/journal. pone.0123182</w:t>
      </w:r>
      <w:r w:rsidR="00237572">
        <w:rPr>
          <w:rFonts w:cstheme="minorHAnsi"/>
          <w:sz w:val="24"/>
          <w:szCs w:val="24"/>
        </w:rPr>
        <w:t>.</w:t>
      </w:r>
    </w:p>
    <w:p w14:paraId="11F90BED" w14:textId="72A50E17" w:rsidR="00762B40" w:rsidRPr="00F92330" w:rsidRDefault="00762B40" w:rsidP="008420E0">
      <w:pPr>
        <w:spacing w:after="240" w:line="240" w:lineRule="auto"/>
        <w:rPr>
          <w:rFonts w:cstheme="minorHAnsi"/>
          <w:sz w:val="24"/>
          <w:szCs w:val="24"/>
        </w:rPr>
      </w:pPr>
      <w:r w:rsidRPr="00F92330">
        <w:rPr>
          <w:rStyle w:val="author"/>
          <w:rFonts w:cstheme="minorHAnsi"/>
          <w:color w:val="1C1D1E"/>
          <w:sz w:val="24"/>
          <w:szCs w:val="24"/>
          <w:shd w:val="clear" w:color="auto" w:fill="FFFFFF"/>
        </w:rPr>
        <w:t>Tsai, J</w:t>
      </w:r>
      <w:r w:rsidRPr="00F92330">
        <w:rPr>
          <w:rFonts w:cstheme="minorHAnsi"/>
          <w:color w:val="1C1D1E"/>
          <w:sz w:val="24"/>
          <w:szCs w:val="24"/>
          <w:shd w:val="clear" w:color="auto" w:fill="FFFFFF"/>
        </w:rPr>
        <w:t>, </w:t>
      </w:r>
      <w:r w:rsidRPr="00F92330">
        <w:rPr>
          <w:rStyle w:val="author"/>
          <w:rFonts w:cstheme="minorHAnsi"/>
          <w:color w:val="1C1D1E"/>
          <w:sz w:val="24"/>
          <w:szCs w:val="24"/>
          <w:shd w:val="clear" w:color="auto" w:fill="FFFFFF"/>
        </w:rPr>
        <w:t>Huang, M</w:t>
      </w:r>
      <w:r w:rsidRPr="00F92330">
        <w:rPr>
          <w:rFonts w:cstheme="minorHAnsi"/>
          <w:color w:val="1C1D1E"/>
          <w:sz w:val="24"/>
          <w:szCs w:val="24"/>
          <w:shd w:val="clear" w:color="auto" w:fill="FFFFFF"/>
        </w:rPr>
        <w:t>. </w:t>
      </w:r>
      <w:r w:rsidRPr="00F92330">
        <w:rPr>
          <w:rStyle w:val="articletitle"/>
          <w:rFonts w:cstheme="minorHAnsi"/>
          <w:color w:val="1C1D1E"/>
          <w:sz w:val="24"/>
          <w:szCs w:val="24"/>
          <w:shd w:val="clear" w:color="auto" w:fill="FFFFFF"/>
        </w:rPr>
        <w:t>Systematic review of psychosocial factors associated with evictions</w:t>
      </w:r>
      <w:r w:rsidRPr="00F92330">
        <w:rPr>
          <w:rFonts w:cstheme="minorHAnsi"/>
          <w:color w:val="1C1D1E"/>
          <w:sz w:val="24"/>
          <w:szCs w:val="24"/>
          <w:shd w:val="clear" w:color="auto" w:fill="FFFFFF"/>
        </w:rPr>
        <w:t>. </w:t>
      </w:r>
      <w:r w:rsidRPr="00F92330">
        <w:rPr>
          <w:rFonts w:cstheme="minorHAnsi"/>
          <w:i/>
          <w:iCs/>
          <w:color w:val="1C1D1E"/>
          <w:sz w:val="24"/>
          <w:szCs w:val="24"/>
          <w:shd w:val="clear" w:color="auto" w:fill="FFFFFF"/>
        </w:rPr>
        <w:t>Health Soc Care Community</w:t>
      </w:r>
      <w:r w:rsidRPr="00F92330">
        <w:rPr>
          <w:rFonts w:cstheme="minorHAnsi"/>
          <w:color w:val="1C1D1E"/>
          <w:sz w:val="24"/>
          <w:szCs w:val="24"/>
          <w:shd w:val="clear" w:color="auto" w:fill="FFFFFF"/>
        </w:rPr>
        <w:t>. </w:t>
      </w:r>
      <w:r w:rsidRPr="00F92330">
        <w:rPr>
          <w:rStyle w:val="pubyear"/>
          <w:rFonts w:cstheme="minorHAnsi"/>
          <w:color w:val="1C1D1E"/>
          <w:sz w:val="24"/>
          <w:szCs w:val="24"/>
          <w:shd w:val="clear" w:color="auto" w:fill="FFFFFF"/>
        </w:rPr>
        <w:t>2019</w:t>
      </w:r>
      <w:r w:rsidRPr="00F92330">
        <w:rPr>
          <w:rFonts w:cstheme="minorHAnsi"/>
          <w:color w:val="1C1D1E"/>
          <w:sz w:val="24"/>
          <w:szCs w:val="24"/>
          <w:shd w:val="clear" w:color="auto" w:fill="FFFFFF"/>
        </w:rPr>
        <w:t>; </w:t>
      </w:r>
      <w:r w:rsidRPr="00F92330">
        <w:rPr>
          <w:rStyle w:val="vol"/>
          <w:rFonts w:cstheme="minorHAnsi"/>
          <w:color w:val="1C1D1E"/>
          <w:sz w:val="24"/>
          <w:szCs w:val="24"/>
          <w:shd w:val="clear" w:color="auto" w:fill="FFFFFF"/>
        </w:rPr>
        <w:t>27</w:t>
      </w:r>
      <w:r w:rsidRPr="00F92330">
        <w:rPr>
          <w:rFonts w:cstheme="minorHAnsi"/>
          <w:color w:val="1C1D1E"/>
          <w:sz w:val="24"/>
          <w:szCs w:val="24"/>
          <w:shd w:val="clear" w:color="auto" w:fill="FFFFFF"/>
        </w:rPr>
        <w:t>: </w:t>
      </w:r>
      <w:r w:rsidRPr="00F92330">
        <w:rPr>
          <w:rStyle w:val="pagefirst"/>
          <w:rFonts w:cstheme="minorHAnsi"/>
          <w:color w:val="1C1D1E"/>
          <w:sz w:val="24"/>
          <w:szCs w:val="24"/>
          <w:shd w:val="clear" w:color="auto" w:fill="FFFFFF"/>
        </w:rPr>
        <w:t>e1</w:t>
      </w:r>
      <w:r w:rsidRPr="00F92330">
        <w:rPr>
          <w:rFonts w:cstheme="minorHAnsi"/>
          <w:color w:val="1C1D1E"/>
          <w:sz w:val="24"/>
          <w:szCs w:val="24"/>
          <w:shd w:val="clear" w:color="auto" w:fill="FFFFFF"/>
        </w:rPr>
        <w:t>– </w:t>
      </w:r>
      <w:r w:rsidRPr="00F92330">
        <w:rPr>
          <w:rStyle w:val="pagelast"/>
          <w:rFonts w:cstheme="minorHAnsi"/>
          <w:color w:val="1C1D1E"/>
          <w:sz w:val="24"/>
          <w:szCs w:val="24"/>
          <w:shd w:val="clear" w:color="auto" w:fill="FFFFFF"/>
        </w:rPr>
        <w:t>e9</w:t>
      </w:r>
      <w:r w:rsidRPr="00F92330">
        <w:rPr>
          <w:rFonts w:cstheme="minorHAnsi"/>
          <w:color w:val="1C1D1E"/>
          <w:sz w:val="24"/>
          <w:szCs w:val="24"/>
          <w:shd w:val="clear" w:color="auto" w:fill="FFFFFF"/>
        </w:rPr>
        <w:t>. </w:t>
      </w:r>
      <w:r w:rsidRPr="00F92330">
        <w:rPr>
          <w:rFonts w:cstheme="minorHAnsi"/>
          <w:sz w:val="24"/>
          <w:szCs w:val="24"/>
          <w:shd w:val="clear" w:color="auto" w:fill="FFFFFF"/>
        </w:rPr>
        <w:t>https://doi.org/10.1111/hsc.12619</w:t>
      </w:r>
      <w:r w:rsidR="00237572">
        <w:rPr>
          <w:rFonts w:cstheme="minorHAnsi"/>
          <w:sz w:val="24"/>
          <w:szCs w:val="24"/>
          <w:shd w:val="clear" w:color="auto" w:fill="FFFFFF"/>
        </w:rPr>
        <w:t>.</w:t>
      </w:r>
    </w:p>
    <w:p w14:paraId="1A4B4364" w14:textId="3107125B" w:rsidR="00762B40" w:rsidRPr="00F92330" w:rsidRDefault="00762B40" w:rsidP="008420E0">
      <w:pPr>
        <w:spacing w:after="240" w:line="240" w:lineRule="auto"/>
        <w:rPr>
          <w:rFonts w:cstheme="minorHAnsi"/>
          <w:sz w:val="24"/>
          <w:szCs w:val="24"/>
        </w:rPr>
      </w:pPr>
      <w:r w:rsidRPr="00F92330">
        <w:rPr>
          <w:rFonts w:cstheme="minorHAnsi"/>
          <w:color w:val="212121"/>
          <w:sz w:val="24"/>
          <w:szCs w:val="24"/>
          <w:shd w:val="clear" w:color="auto" w:fill="FFFFFF"/>
        </w:rPr>
        <w:t xml:space="preserve">Tsai, J., Jones, N., </w:t>
      </w:r>
      <w:proofErr w:type="spellStart"/>
      <w:r w:rsidRPr="00F92330">
        <w:rPr>
          <w:rFonts w:cstheme="minorHAnsi"/>
          <w:color w:val="212121"/>
          <w:sz w:val="24"/>
          <w:szCs w:val="24"/>
          <w:shd w:val="clear" w:color="auto" w:fill="FFFFFF"/>
        </w:rPr>
        <w:t>Szymkowiak</w:t>
      </w:r>
      <w:proofErr w:type="spellEnd"/>
      <w:r w:rsidRPr="00F92330">
        <w:rPr>
          <w:rFonts w:cstheme="minorHAnsi"/>
          <w:color w:val="212121"/>
          <w:sz w:val="24"/>
          <w:szCs w:val="24"/>
          <w:shd w:val="clear" w:color="auto" w:fill="FFFFFF"/>
        </w:rPr>
        <w:t xml:space="preserve">, D., &amp; </w:t>
      </w:r>
      <w:proofErr w:type="spellStart"/>
      <w:r w:rsidRPr="00F92330">
        <w:rPr>
          <w:rFonts w:cstheme="minorHAnsi"/>
          <w:color w:val="212121"/>
          <w:sz w:val="24"/>
          <w:szCs w:val="24"/>
          <w:shd w:val="clear" w:color="auto" w:fill="FFFFFF"/>
        </w:rPr>
        <w:t>Rosenheck</w:t>
      </w:r>
      <w:proofErr w:type="spellEnd"/>
      <w:r w:rsidRPr="00F92330">
        <w:rPr>
          <w:rFonts w:cstheme="minorHAnsi"/>
          <w:color w:val="212121"/>
          <w:sz w:val="24"/>
          <w:szCs w:val="24"/>
          <w:shd w:val="clear" w:color="auto" w:fill="FFFFFF"/>
        </w:rPr>
        <w:t>, R. A. (2020). Longitudinal study of the housing and mental health outcomes of tenants appearing in eviction court. </w:t>
      </w:r>
      <w:r w:rsidRPr="00F92330">
        <w:rPr>
          <w:rFonts w:cstheme="minorHAnsi"/>
          <w:i/>
          <w:iCs/>
          <w:color w:val="212121"/>
          <w:sz w:val="24"/>
          <w:szCs w:val="24"/>
          <w:shd w:val="clear" w:color="auto" w:fill="FFFFFF"/>
        </w:rPr>
        <w:t>Social psychiatry and psychiatric epidemiology</w:t>
      </w:r>
      <w:r w:rsidRPr="00F92330">
        <w:rPr>
          <w:rFonts w:cstheme="minorHAnsi"/>
          <w:color w:val="212121"/>
          <w:sz w:val="24"/>
          <w:szCs w:val="24"/>
          <w:shd w:val="clear" w:color="auto" w:fill="FFFFFF"/>
        </w:rPr>
        <w:t>, 10.1007/s00127-020-01953-2. Advance online publication. https://doi.org/10.1007/s00127-020-01953-2</w:t>
      </w:r>
      <w:r w:rsidR="00237572">
        <w:rPr>
          <w:rFonts w:cstheme="minorHAnsi"/>
          <w:color w:val="212121"/>
          <w:sz w:val="24"/>
          <w:szCs w:val="24"/>
          <w:shd w:val="clear" w:color="auto" w:fill="FFFFFF"/>
        </w:rPr>
        <w:t>.</w:t>
      </w:r>
    </w:p>
    <w:p w14:paraId="54650C76" w14:textId="06809D91" w:rsidR="00762B40" w:rsidRPr="00F92330" w:rsidRDefault="00762B40" w:rsidP="008420E0">
      <w:pPr>
        <w:spacing w:after="240" w:line="240" w:lineRule="auto"/>
        <w:rPr>
          <w:rFonts w:eastAsia="Times New Roman" w:cstheme="minorHAnsi"/>
          <w:color w:val="000000"/>
          <w:sz w:val="24"/>
          <w:szCs w:val="24"/>
        </w:rPr>
      </w:pPr>
      <w:r w:rsidRPr="00F92330">
        <w:rPr>
          <w:rFonts w:cstheme="minorHAnsi"/>
          <w:sz w:val="24"/>
          <w:szCs w:val="24"/>
        </w:rPr>
        <w:t xml:space="preserve">Tucker, P., &amp; </w:t>
      </w:r>
      <w:proofErr w:type="spellStart"/>
      <w:r w:rsidRPr="00F92330">
        <w:rPr>
          <w:rFonts w:cstheme="minorHAnsi"/>
          <w:sz w:val="24"/>
          <w:szCs w:val="24"/>
        </w:rPr>
        <w:t>Czapla</w:t>
      </w:r>
      <w:proofErr w:type="spellEnd"/>
      <w:r w:rsidRPr="00F92330">
        <w:rPr>
          <w:rFonts w:cstheme="minorHAnsi"/>
          <w:sz w:val="24"/>
          <w:szCs w:val="24"/>
        </w:rPr>
        <w:t xml:space="preserve">, C. S. (2021). Post-COVID Stress Disorder: Another Emerging Consequence of the Global Pandemic. Psychiatric Times. https://www.psychiatrictimes.com/view/post-covid-stress-disorder-emerging-consequence-global-pandemic </w:t>
      </w:r>
      <w:r w:rsidRPr="00F92330">
        <w:rPr>
          <w:rFonts w:cstheme="minorHAnsi"/>
          <w:color w:val="212121"/>
          <w:sz w:val="24"/>
          <w:szCs w:val="24"/>
          <w:shd w:val="clear" w:color="auto" w:fill="FFFFFF"/>
        </w:rPr>
        <w:t>Tsai, J., Jenkins, D., &amp; Lawton, E. (2017). Civil Legal Services and Medical-Legal Partnerships Needed by the Homeless Population: A National Survey. </w:t>
      </w:r>
      <w:r w:rsidRPr="00F92330">
        <w:rPr>
          <w:rFonts w:cstheme="minorHAnsi"/>
          <w:i/>
          <w:iCs/>
          <w:color w:val="212121"/>
          <w:sz w:val="24"/>
          <w:szCs w:val="24"/>
          <w:shd w:val="clear" w:color="auto" w:fill="FFFFFF"/>
        </w:rPr>
        <w:t>American journal of public health</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107</w:t>
      </w:r>
      <w:r w:rsidRPr="00F92330">
        <w:rPr>
          <w:rFonts w:cstheme="minorHAnsi"/>
          <w:color w:val="212121"/>
          <w:sz w:val="24"/>
          <w:szCs w:val="24"/>
          <w:shd w:val="clear" w:color="auto" w:fill="FFFFFF"/>
        </w:rPr>
        <w:t>(3), 398–401. https://doi.org/10.2105/AJPH.2016.303596</w:t>
      </w:r>
      <w:r w:rsidR="00237572">
        <w:rPr>
          <w:rFonts w:eastAsia="Times New Roman" w:cstheme="minorHAnsi"/>
          <w:color w:val="000000"/>
          <w:sz w:val="24"/>
          <w:szCs w:val="24"/>
        </w:rPr>
        <w:t>.</w:t>
      </w:r>
    </w:p>
    <w:p w14:paraId="439BE4BE" w14:textId="2081F785" w:rsidR="00762B40" w:rsidRPr="00F92330" w:rsidRDefault="00762B40" w:rsidP="008420E0">
      <w:pPr>
        <w:spacing w:after="240" w:line="240" w:lineRule="auto"/>
        <w:rPr>
          <w:rFonts w:cstheme="minorHAnsi"/>
          <w:sz w:val="24"/>
          <w:szCs w:val="24"/>
        </w:rPr>
      </w:pPr>
      <w:r w:rsidRPr="00F92330">
        <w:rPr>
          <w:rFonts w:cstheme="minorHAnsi"/>
          <w:color w:val="212121"/>
          <w:sz w:val="24"/>
          <w:szCs w:val="24"/>
          <w:shd w:val="clear" w:color="auto" w:fill="FFFFFF"/>
        </w:rPr>
        <w:t xml:space="preserve">van </w:t>
      </w:r>
      <w:proofErr w:type="spellStart"/>
      <w:r w:rsidRPr="00F92330">
        <w:rPr>
          <w:rFonts w:cstheme="minorHAnsi"/>
          <w:color w:val="212121"/>
          <w:sz w:val="24"/>
          <w:szCs w:val="24"/>
          <w:shd w:val="clear" w:color="auto" w:fill="FFFFFF"/>
        </w:rPr>
        <w:t>Laere</w:t>
      </w:r>
      <w:proofErr w:type="spellEnd"/>
      <w:r w:rsidRPr="00F92330">
        <w:rPr>
          <w:rFonts w:cstheme="minorHAnsi"/>
          <w:color w:val="212121"/>
          <w:sz w:val="24"/>
          <w:szCs w:val="24"/>
          <w:shd w:val="clear" w:color="auto" w:fill="FFFFFF"/>
        </w:rPr>
        <w:t xml:space="preserve">, I. R., de Wit, M. A., &amp; </w:t>
      </w:r>
      <w:proofErr w:type="spellStart"/>
      <w:r w:rsidRPr="00F92330">
        <w:rPr>
          <w:rFonts w:cstheme="minorHAnsi"/>
          <w:color w:val="212121"/>
          <w:sz w:val="24"/>
          <w:szCs w:val="24"/>
          <w:shd w:val="clear" w:color="auto" w:fill="FFFFFF"/>
        </w:rPr>
        <w:t>Klazinga</w:t>
      </w:r>
      <w:proofErr w:type="spellEnd"/>
      <w:r w:rsidRPr="00F92330">
        <w:rPr>
          <w:rFonts w:cstheme="minorHAnsi"/>
          <w:color w:val="212121"/>
          <w:sz w:val="24"/>
          <w:szCs w:val="24"/>
          <w:shd w:val="clear" w:color="auto" w:fill="FFFFFF"/>
        </w:rPr>
        <w:t xml:space="preserve">, N. S. (2009). Pathways into homelessness: recently homeless </w:t>
      </w:r>
      <w:proofErr w:type="gramStart"/>
      <w:r w:rsidRPr="00F92330">
        <w:rPr>
          <w:rFonts w:cstheme="minorHAnsi"/>
          <w:color w:val="212121"/>
          <w:sz w:val="24"/>
          <w:szCs w:val="24"/>
          <w:shd w:val="clear" w:color="auto" w:fill="FFFFFF"/>
        </w:rPr>
        <w:t>adults</w:t>
      </w:r>
      <w:proofErr w:type="gramEnd"/>
      <w:r w:rsidRPr="00F92330">
        <w:rPr>
          <w:rFonts w:cstheme="minorHAnsi"/>
          <w:color w:val="212121"/>
          <w:sz w:val="24"/>
          <w:szCs w:val="24"/>
          <w:shd w:val="clear" w:color="auto" w:fill="FFFFFF"/>
        </w:rPr>
        <w:t xml:space="preserve"> problems and service use before and after becoming homeless in Amsterdam. </w:t>
      </w:r>
      <w:r w:rsidRPr="00F92330">
        <w:rPr>
          <w:rFonts w:cstheme="minorHAnsi"/>
          <w:i/>
          <w:iCs/>
          <w:color w:val="212121"/>
          <w:sz w:val="24"/>
          <w:szCs w:val="24"/>
          <w:shd w:val="clear" w:color="auto" w:fill="FFFFFF"/>
        </w:rPr>
        <w:t>BMC public health</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9</w:t>
      </w:r>
      <w:r w:rsidRPr="00F92330">
        <w:rPr>
          <w:rFonts w:cstheme="minorHAnsi"/>
          <w:color w:val="212121"/>
          <w:sz w:val="24"/>
          <w:szCs w:val="24"/>
          <w:shd w:val="clear" w:color="auto" w:fill="FFFFFF"/>
        </w:rPr>
        <w:t>, 3. https://doi.org/10.1186/1471-2458-9-3</w:t>
      </w:r>
      <w:r w:rsidR="00237572">
        <w:rPr>
          <w:rFonts w:cstheme="minorHAnsi"/>
          <w:color w:val="212121"/>
          <w:sz w:val="24"/>
          <w:szCs w:val="24"/>
          <w:shd w:val="clear" w:color="auto" w:fill="FFFFFF"/>
        </w:rPr>
        <w:t>.</w:t>
      </w:r>
    </w:p>
    <w:p w14:paraId="4EA33553" w14:textId="1740802D" w:rsidR="00762B40" w:rsidRPr="00F92330" w:rsidRDefault="00762B40" w:rsidP="008420E0">
      <w:pPr>
        <w:spacing w:after="240" w:line="240" w:lineRule="auto"/>
        <w:rPr>
          <w:rFonts w:cstheme="minorHAnsi"/>
          <w:b/>
          <w:bCs/>
          <w:sz w:val="24"/>
          <w:szCs w:val="24"/>
        </w:rPr>
      </w:pPr>
      <w:r w:rsidRPr="00F92330">
        <w:rPr>
          <w:rFonts w:eastAsia="Times New Roman" w:cstheme="minorHAnsi"/>
          <w:b/>
          <w:bCs/>
          <w:color w:val="000000"/>
          <w:sz w:val="24"/>
          <w:szCs w:val="24"/>
        </w:rPr>
        <w:t xml:space="preserve"> </w:t>
      </w:r>
      <w:r w:rsidRPr="00F92330">
        <w:rPr>
          <w:rFonts w:cstheme="minorHAnsi"/>
          <w:color w:val="212121"/>
          <w:sz w:val="24"/>
          <w:szCs w:val="24"/>
          <w:shd w:val="clear" w:color="auto" w:fill="FFFFFF"/>
        </w:rPr>
        <w:t xml:space="preserve">van </w:t>
      </w:r>
      <w:proofErr w:type="spellStart"/>
      <w:r w:rsidRPr="00F92330">
        <w:rPr>
          <w:rFonts w:cstheme="minorHAnsi"/>
          <w:color w:val="212121"/>
          <w:sz w:val="24"/>
          <w:szCs w:val="24"/>
          <w:shd w:val="clear" w:color="auto" w:fill="FFFFFF"/>
        </w:rPr>
        <w:t>Laere</w:t>
      </w:r>
      <w:proofErr w:type="spellEnd"/>
      <w:r w:rsidRPr="00F92330">
        <w:rPr>
          <w:rFonts w:cstheme="minorHAnsi"/>
          <w:color w:val="212121"/>
          <w:sz w:val="24"/>
          <w:szCs w:val="24"/>
          <w:shd w:val="clear" w:color="auto" w:fill="FFFFFF"/>
        </w:rPr>
        <w:t xml:space="preserve">, I., de Wit, M., &amp; </w:t>
      </w:r>
      <w:proofErr w:type="spellStart"/>
      <w:r w:rsidRPr="00F92330">
        <w:rPr>
          <w:rFonts w:cstheme="minorHAnsi"/>
          <w:color w:val="212121"/>
          <w:sz w:val="24"/>
          <w:szCs w:val="24"/>
          <w:shd w:val="clear" w:color="auto" w:fill="FFFFFF"/>
        </w:rPr>
        <w:t>Klazinga</w:t>
      </w:r>
      <w:proofErr w:type="spellEnd"/>
      <w:r w:rsidRPr="00F92330">
        <w:rPr>
          <w:rFonts w:cstheme="minorHAnsi"/>
          <w:color w:val="212121"/>
          <w:sz w:val="24"/>
          <w:szCs w:val="24"/>
          <w:shd w:val="clear" w:color="auto" w:fill="FFFFFF"/>
        </w:rPr>
        <w:t xml:space="preserve">, N. (2009). Evaluation of the </w:t>
      </w:r>
      <w:proofErr w:type="spellStart"/>
      <w:r w:rsidRPr="00F92330">
        <w:rPr>
          <w:rFonts w:cstheme="minorHAnsi"/>
          <w:color w:val="212121"/>
          <w:sz w:val="24"/>
          <w:szCs w:val="24"/>
          <w:shd w:val="clear" w:color="auto" w:fill="FFFFFF"/>
        </w:rPr>
        <w:t>signalling</w:t>
      </w:r>
      <w:proofErr w:type="spellEnd"/>
      <w:r w:rsidRPr="00F92330">
        <w:rPr>
          <w:rFonts w:cstheme="minorHAnsi"/>
          <w:color w:val="212121"/>
          <w:sz w:val="24"/>
          <w:szCs w:val="24"/>
          <w:shd w:val="clear" w:color="auto" w:fill="FFFFFF"/>
        </w:rPr>
        <w:t xml:space="preserve"> and referral system for households at risk of eviction in Amsterdam. </w:t>
      </w:r>
      <w:r w:rsidRPr="00F92330">
        <w:rPr>
          <w:rFonts w:cstheme="minorHAnsi"/>
          <w:i/>
          <w:iCs/>
          <w:color w:val="212121"/>
          <w:sz w:val="24"/>
          <w:szCs w:val="24"/>
          <w:shd w:val="clear" w:color="auto" w:fill="FFFFFF"/>
        </w:rPr>
        <w:t>Health &amp; social care in the community</w:t>
      </w:r>
      <w:r w:rsidRPr="00F92330">
        <w:rPr>
          <w:rFonts w:cstheme="minorHAnsi"/>
          <w:color w:val="212121"/>
          <w:sz w:val="24"/>
          <w:szCs w:val="24"/>
          <w:shd w:val="clear" w:color="auto" w:fill="FFFFFF"/>
        </w:rPr>
        <w:t>, </w:t>
      </w:r>
      <w:r w:rsidRPr="00F92330">
        <w:rPr>
          <w:rFonts w:cstheme="minorHAnsi"/>
          <w:i/>
          <w:iCs/>
          <w:color w:val="212121"/>
          <w:sz w:val="24"/>
          <w:szCs w:val="24"/>
          <w:shd w:val="clear" w:color="auto" w:fill="FFFFFF"/>
        </w:rPr>
        <w:t>17</w:t>
      </w:r>
      <w:r w:rsidRPr="00F92330">
        <w:rPr>
          <w:rFonts w:cstheme="minorHAnsi"/>
          <w:color w:val="212121"/>
          <w:sz w:val="24"/>
          <w:szCs w:val="24"/>
          <w:shd w:val="clear" w:color="auto" w:fill="FFFFFF"/>
        </w:rPr>
        <w:t>(1), 1–8. https://doi.org/10.1111/j.1365-2524.2007.00790.</w:t>
      </w:r>
    </w:p>
    <w:sectPr w:rsidR="00762B40" w:rsidRPr="00F92330" w:rsidSect="001777F2">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336D" w14:textId="77777777" w:rsidR="005F1785" w:rsidRDefault="005F1785" w:rsidP="000D6FA7">
      <w:pPr>
        <w:spacing w:after="0" w:line="240" w:lineRule="auto"/>
      </w:pPr>
      <w:r>
        <w:separator/>
      </w:r>
    </w:p>
  </w:endnote>
  <w:endnote w:type="continuationSeparator" w:id="0">
    <w:p w14:paraId="6CFC5A18" w14:textId="77777777" w:rsidR="005F1785" w:rsidRDefault="005F1785" w:rsidP="000D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8" w:type="pct"/>
      <w:jc w:val="right"/>
      <w:tblCellMar>
        <w:top w:w="115" w:type="dxa"/>
        <w:left w:w="115" w:type="dxa"/>
        <w:bottom w:w="115" w:type="dxa"/>
        <w:right w:w="115" w:type="dxa"/>
      </w:tblCellMar>
      <w:tblLook w:val="04A0" w:firstRow="1" w:lastRow="0" w:firstColumn="1" w:lastColumn="0" w:noHBand="0" w:noVBand="1"/>
    </w:tblPr>
    <w:tblGrid>
      <w:gridCol w:w="8942"/>
      <w:gridCol w:w="470"/>
    </w:tblGrid>
    <w:tr w:rsidR="000E1340" w14:paraId="72D0EF79" w14:textId="77777777" w:rsidTr="001777F2">
      <w:trPr>
        <w:trHeight w:val="217"/>
        <w:jc w:val="right"/>
      </w:trPr>
      <w:tc>
        <w:tcPr>
          <w:tcW w:w="8942" w:type="dxa"/>
          <w:vAlign w:val="center"/>
        </w:tcPr>
        <w:sdt>
          <w:sdtPr>
            <w:rPr>
              <w:caps/>
              <w:color w:val="000000" w:themeColor="text1"/>
            </w:rPr>
            <w:alias w:val="Author"/>
            <w:tag w:val=""/>
            <w:id w:val="1534539408"/>
            <w:placeholder>
              <w:docPart w:val="188AD48B87184B75BA828E804C827AB7"/>
            </w:placeholder>
            <w:dataBinding w:prefixMappings="xmlns:ns0='http://purl.org/dc/elements/1.1/' xmlns:ns1='http://schemas.openxmlformats.org/package/2006/metadata/core-properties' " w:xpath="/ns1:coreProperties[1]/ns0:creator[1]" w:storeItemID="{6C3C8BC8-F283-45AE-878A-BAB7291924A1}"/>
            <w:text/>
          </w:sdtPr>
          <w:sdtEndPr/>
          <w:sdtContent>
            <w:p w14:paraId="40DAC6DC" w14:textId="17293524" w:rsidR="000E1340" w:rsidRDefault="000E1340">
              <w:pPr>
                <w:pStyle w:val="Header"/>
                <w:jc w:val="right"/>
                <w:rPr>
                  <w:caps/>
                  <w:color w:val="000000" w:themeColor="text1"/>
                </w:rPr>
              </w:pPr>
              <w:r>
                <w:rPr>
                  <w:caps/>
                  <w:color w:val="000000" w:themeColor="text1"/>
                </w:rPr>
                <w:t>liam a. smith</w:t>
              </w:r>
            </w:p>
          </w:sdtContent>
        </w:sdt>
      </w:tc>
      <w:tc>
        <w:tcPr>
          <w:tcW w:w="470" w:type="dxa"/>
          <w:shd w:val="clear" w:color="auto" w:fill="629DD1" w:themeFill="accent2"/>
          <w:vAlign w:val="center"/>
        </w:tcPr>
        <w:p w14:paraId="240BC6A8" w14:textId="2FABB33D" w:rsidR="000E1340" w:rsidRDefault="001777F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Pr>
              <w:noProof/>
              <w:color w:val="FFFFFF" w:themeColor="background1"/>
            </w:rPr>
            <w:t>2</w:t>
          </w:r>
          <w:r>
            <w:rPr>
              <w:color w:val="FFFFFF" w:themeColor="background1"/>
            </w:rPr>
            <w:fldChar w:fldCharType="end"/>
          </w:r>
        </w:p>
      </w:tc>
    </w:tr>
  </w:tbl>
  <w:p w14:paraId="466FA900" w14:textId="77777777" w:rsidR="0049161E" w:rsidRDefault="0049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D88C" w14:textId="77777777" w:rsidR="005F1785" w:rsidRDefault="005F1785" w:rsidP="000D6FA7">
      <w:pPr>
        <w:spacing w:after="0" w:line="240" w:lineRule="auto"/>
      </w:pPr>
      <w:r>
        <w:separator/>
      </w:r>
    </w:p>
  </w:footnote>
  <w:footnote w:type="continuationSeparator" w:id="0">
    <w:p w14:paraId="12AEA950" w14:textId="77777777" w:rsidR="005F1785" w:rsidRDefault="005F1785" w:rsidP="000D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15561"/>
      <w:docPartObj>
        <w:docPartGallery w:val="Page Numbers (Bottom of Page)"/>
        <w:docPartUnique/>
      </w:docPartObj>
    </w:sdtPr>
    <w:sdtEndPr>
      <w:rPr>
        <w:color w:val="7F7F7F" w:themeColor="background1" w:themeShade="7F"/>
        <w:spacing w:val="60"/>
      </w:rPr>
    </w:sdtEndPr>
    <w:sdtContent>
      <w:p w14:paraId="0C2AD794" w14:textId="35B3330A" w:rsidR="000E1340" w:rsidRDefault="000E1340" w:rsidP="000E1340">
        <w:pPr>
          <w:pStyle w:val="Footer"/>
          <w:pBdr>
            <w:top w:val="single" w:sz="4" w:space="1" w:color="D9D9D9" w:themeColor="background1" w:themeShade="D9"/>
          </w:pBdr>
          <w:jc w:val="right"/>
        </w:pPr>
        <w:r>
          <w:t xml:space="preserve">Evictions and Mental Health | </w:t>
        </w:r>
        <w:r>
          <w:rPr>
            <w:color w:val="7F7F7F" w:themeColor="background1" w:themeShade="7F"/>
            <w:spacing w:val="60"/>
          </w:rPr>
          <w:t>CSUS</w:t>
        </w:r>
      </w:p>
    </w:sdtContent>
  </w:sdt>
  <w:p w14:paraId="3AB4C0C0" w14:textId="77777777" w:rsidR="000E1340" w:rsidRDefault="000E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B7B"/>
    <w:multiLevelType w:val="hybridMultilevel"/>
    <w:tmpl w:val="97C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E21"/>
    <w:multiLevelType w:val="hybridMultilevel"/>
    <w:tmpl w:val="FB129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41090"/>
    <w:multiLevelType w:val="hybridMultilevel"/>
    <w:tmpl w:val="3C4A6DF0"/>
    <w:lvl w:ilvl="0" w:tplc="3CD887E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75E8C"/>
    <w:multiLevelType w:val="hybridMultilevel"/>
    <w:tmpl w:val="0E0A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C5BFD"/>
    <w:multiLevelType w:val="hybridMultilevel"/>
    <w:tmpl w:val="B6B60EA4"/>
    <w:lvl w:ilvl="0" w:tplc="7C74DDB2">
      <w:start w:val="1"/>
      <w:numFmt w:val="decimal"/>
      <w:lvlText w:val="%1."/>
      <w:lvlJc w:val="left"/>
      <w:pPr>
        <w:ind w:left="720" w:hanging="360"/>
      </w:pPr>
      <w:rPr>
        <w:rFonts w:asciiTheme="minorHAnsi" w:eastAsiaTheme="minorHAnsi" w:hAnsiTheme="minorHAnsi" w:cstheme="minorBid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D470E"/>
    <w:multiLevelType w:val="hybridMultilevel"/>
    <w:tmpl w:val="20C44810"/>
    <w:lvl w:ilvl="0" w:tplc="7B422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15310"/>
    <w:multiLevelType w:val="hybridMultilevel"/>
    <w:tmpl w:val="C48E1AE0"/>
    <w:lvl w:ilvl="0" w:tplc="F75AEB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32EED"/>
    <w:multiLevelType w:val="hybridMultilevel"/>
    <w:tmpl w:val="3E5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348D8"/>
    <w:multiLevelType w:val="hybridMultilevel"/>
    <w:tmpl w:val="375E6D34"/>
    <w:lvl w:ilvl="0" w:tplc="04090001">
      <w:start w:val="1"/>
      <w:numFmt w:val="bullet"/>
      <w:lvlText w:val=""/>
      <w:lvlJc w:val="left"/>
      <w:pPr>
        <w:ind w:left="720" w:hanging="360"/>
      </w:pPr>
      <w:rPr>
        <w:rFonts w:ascii="Symbol" w:hAnsi="Symbol" w:cs="Symbol" w:hint="default"/>
      </w:rPr>
    </w:lvl>
    <w:lvl w:ilvl="1" w:tplc="04090005">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A6016"/>
    <w:multiLevelType w:val="hybridMultilevel"/>
    <w:tmpl w:val="3DF06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8515B"/>
    <w:multiLevelType w:val="hybridMultilevel"/>
    <w:tmpl w:val="E41EFE7A"/>
    <w:lvl w:ilvl="0" w:tplc="CFD84E72">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82D95"/>
    <w:multiLevelType w:val="hybridMultilevel"/>
    <w:tmpl w:val="1F00C146"/>
    <w:lvl w:ilvl="0" w:tplc="57769B6C">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64BE9"/>
    <w:multiLevelType w:val="hybridMultilevel"/>
    <w:tmpl w:val="9E080F1A"/>
    <w:lvl w:ilvl="0" w:tplc="1B7251E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4"/>
  </w:num>
  <w:num w:numId="5">
    <w:abstractNumId w:val="2"/>
  </w:num>
  <w:num w:numId="6">
    <w:abstractNumId w:val="9"/>
  </w:num>
  <w:num w:numId="7">
    <w:abstractNumId w:val="8"/>
  </w:num>
  <w:num w:numId="8">
    <w:abstractNumId w:val="6"/>
  </w:num>
  <w:num w:numId="9">
    <w:abstractNumId w:val="1"/>
  </w:num>
  <w:num w:numId="10">
    <w:abstractNumId w:val="0"/>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F1"/>
    <w:rsid w:val="000038AD"/>
    <w:rsid w:val="000054EC"/>
    <w:rsid w:val="00006984"/>
    <w:rsid w:val="00006F54"/>
    <w:rsid w:val="00015802"/>
    <w:rsid w:val="00015923"/>
    <w:rsid w:val="000159F6"/>
    <w:rsid w:val="000172D7"/>
    <w:rsid w:val="00017D0C"/>
    <w:rsid w:val="00020FAB"/>
    <w:rsid w:val="000211CB"/>
    <w:rsid w:val="00022459"/>
    <w:rsid w:val="000237C1"/>
    <w:rsid w:val="00034172"/>
    <w:rsid w:val="00042D51"/>
    <w:rsid w:val="00050237"/>
    <w:rsid w:val="00051678"/>
    <w:rsid w:val="00054298"/>
    <w:rsid w:val="0005699F"/>
    <w:rsid w:val="00061B48"/>
    <w:rsid w:val="00064CEA"/>
    <w:rsid w:val="00067343"/>
    <w:rsid w:val="0006783D"/>
    <w:rsid w:val="00070DD3"/>
    <w:rsid w:val="000877E3"/>
    <w:rsid w:val="00092D3B"/>
    <w:rsid w:val="000930B3"/>
    <w:rsid w:val="00096038"/>
    <w:rsid w:val="000A59E7"/>
    <w:rsid w:val="000B14E8"/>
    <w:rsid w:val="000B1A2E"/>
    <w:rsid w:val="000B1A6E"/>
    <w:rsid w:val="000B2C6C"/>
    <w:rsid w:val="000B6500"/>
    <w:rsid w:val="000C1659"/>
    <w:rsid w:val="000C2256"/>
    <w:rsid w:val="000C3EA6"/>
    <w:rsid w:val="000D6FA7"/>
    <w:rsid w:val="000E1340"/>
    <w:rsid w:val="000E34B9"/>
    <w:rsid w:val="000F06C2"/>
    <w:rsid w:val="000F1064"/>
    <w:rsid w:val="000F37E5"/>
    <w:rsid w:val="000F6618"/>
    <w:rsid w:val="000F71D3"/>
    <w:rsid w:val="00101E94"/>
    <w:rsid w:val="00105591"/>
    <w:rsid w:val="001166F4"/>
    <w:rsid w:val="0011787A"/>
    <w:rsid w:val="0013118D"/>
    <w:rsid w:val="001314C5"/>
    <w:rsid w:val="001411D8"/>
    <w:rsid w:val="001504FB"/>
    <w:rsid w:val="001556AA"/>
    <w:rsid w:val="00163B58"/>
    <w:rsid w:val="00164570"/>
    <w:rsid w:val="00166334"/>
    <w:rsid w:val="001709DD"/>
    <w:rsid w:val="00170E86"/>
    <w:rsid w:val="00172745"/>
    <w:rsid w:val="00173BEE"/>
    <w:rsid w:val="001752C0"/>
    <w:rsid w:val="00175F3D"/>
    <w:rsid w:val="001777F2"/>
    <w:rsid w:val="00181E55"/>
    <w:rsid w:val="001868B5"/>
    <w:rsid w:val="001973E1"/>
    <w:rsid w:val="001A36D9"/>
    <w:rsid w:val="001B3020"/>
    <w:rsid w:val="001B7F3E"/>
    <w:rsid w:val="001C1043"/>
    <w:rsid w:val="001D418D"/>
    <w:rsid w:val="001D6FB6"/>
    <w:rsid w:val="001E78B9"/>
    <w:rsid w:val="001F0DD7"/>
    <w:rsid w:val="001F78F2"/>
    <w:rsid w:val="001F7CDE"/>
    <w:rsid w:val="0020046C"/>
    <w:rsid w:val="002018CE"/>
    <w:rsid w:val="00206206"/>
    <w:rsid w:val="00213711"/>
    <w:rsid w:val="00213D9D"/>
    <w:rsid w:val="002155C7"/>
    <w:rsid w:val="00236259"/>
    <w:rsid w:val="00237572"/>
    <w:rsid w:val="002453A1"/>
    <w:rsid w:val="00251789"/>
    <w:rsid w:val="00251F25"/>
    <w:rsid w:val="00262966"/>
    <w:rsid w:val="002647C8"/>
    <w:rsid w:val="00270469"/>
    <w:rsid w:val="002732FA"/>
    <w:rsid w:val="0028277E"/>
    <w:rsid w:val="0028438D"/>
    <w:rsid w:val="00291692"/>
    <w:rsid w:val="00295247"/>
    <w:rsid w:val="00297701"/>
    <w:rsid w:val="002A5AA9"/>
    <w:rsid w:val="002B1434"/>
    <w:rsid w:val="002B50DD"/>
    <w:rsid w:val="002B6A5B"/>
    <w:rsid w:val="002C0215"/>
    <w:rsid w:val="002C23BD"/>
    <w:rsid w:val="002C3001"/>
    <w:rsid w:val="002C6829"/>
    <w:rsid w:val="002D0371"/>
    <w:rsid w:val="002D2CBF"/>
    <w:rsid w:val="002D3940"/>
    <w:rsid w:val="002E4020"/>
    <w:rsid w:val="002E607B"/>
    <w:rsid w:val="002F0BDB"/>
    <w:rsid w:val="002F49FB"/>
    <w:rsid w:val="00306F42"/>
    <w:rsid w:val="003075CB"/>
    <w:rsid w:val="00311B25"/>
    <w:rsid w:val="00316C52"/>
    <w:rsid w:val="00316DFE"/>
    <w:rsid w:val="00330FC3"/>
    <w:rsid w:val="00333AE2"/>
    <w:rsid w:val="00336F66"/>
    <w:rsid w:val="00341AE9"/>
    <w:rsid w:val="00344668"/>
    <w:rsid w:val="0034470D"/>
    <w:rsid w:val="00350190"/>
    <w:rsid w:val="00355ED6"/>
    <w:rsid w:val="00364206"/>
    <w:rsid w:val="00364C9B"/>
    <w:rsid w:val="00367B0F"/>
    <w:rsid w:val="003739D7"/>
    <w:rsid w:val="00376C56"/>
    <w:rsid w:val="003773D2"/>
    <w:rsid w:val="00382381"/>
    <w:rsid w:val="00384300"/>
    <w:rsid w:val="00385BA3"/>
    <w:rsid w:val="00392A73"/>
    <w:rsid w:val="003A53F3"/>
    <w:rsid w:val="003A68BF"/>
    <w:rsid w:val="003B06FF"/>
    <w:rsid w:val="003B090C"/>
    <w:rsid w:val="003B69B5"/>
    <w:rsid w:val="003C208C"/>
    <w:rsid w:val="003C530A"/>
    <w:rsid w:val="003D124F"/>
    <w:rsid w:val="003D5BA1"/>
    <w:rsid w:val="003D7E37"/>
    <w:rsid w:val="003E24BD"/>
    <w:rsid w:val="003F1B6E"/>
    <w:rsid w:val="003F3A3C"/>
    <w:rsid w:val="003F52B2"/>
    <w:rsid w:val="00400309"/>
    <w:rsid w:val="00400F3C"/>
    <w:rsid w:val="0040713D"/>
    <w:rsid w:val="00407FB4"/>
    <w:rsid w:val="0041170F"/>
    <w:rsid w:val="00411A17"/>
    <w:rsid w:val="00415648"/>
    <w:rsid w:val="004212E1"/>
    <w:rsid w:val="0042599A"/>
    <w:rsid w:val="00427AE3"/>
    <w:rsid w:val="004343FA"/>
    <w:rsid w:val="00442546"/>
    <w:rsid w:val="0045748E"/>
    <w:rsid w:val="004714EE"/>
    <w:rsid w:val="004718A1"/>
    <w:rsid w:val="00473C10"/>
    <w:rsid w:val="004870F8"/>
    <w:rsid w:val="0049161E"/>
    <w:rsid w:val="004924D4"/>
    <w:rsid w:val="00496C19"/>
    <w:rsid w:val="004A2212"/>
    <w:rsid w:val="004A2551"/>
    <w:rsid w:val="004A75B0"/>
    <w:rsid w:val="004A7DE4"/>
    <w:rsid w:val="004B3DA6"/>
    <w:rsid w:val="004B41A3"/>
    <w:rsid w:val="004B4ED2"/>
    <w:rsid w:val="004C466E"/>
    <w:rsid w:val="004C467B"/>
    <w:rsid w:val="004C49FA"/>
    <w:rsid w:val="004C62C1"/>
    <w:rsid w:val="004D3C5F"/>
    <w:rsid w:val="004D772B"/>
    <w:rsid w:val="004E00B3"/>
    <w:rsid w:val="004E1ED3"/>
    <w:rsid w:val="004E4D54"/>
    <w:rsid w:val="004E5A28"/>
    <w:rsid w:val="004F0F91"/>
    <w:rsid w:val="004F4B2C"/>
    <w:rsid w:val="004F6BF5"/>
    <w:rsid w:val="004F6E59"/>
    <w:rsid w:val="00500430"/>
    <w:rsid w:val="005017CA"/>
    <w:rsid w:val="00503321"/>
    <w:rsid w:val="00506692"/>
    <w:rsid w:val="00506BF1"/>
    <w:rsid w:val="005075EB"/>
    <w:rsid w:val="00514CAD"/>
    <w:rsid w:val="005247E4"/>
    <w:rsid w:val="00524F0F"/>
    <w:rsid w:val="00537DEE"/>
    <w:rsid w:val="005503B7"/>
    <w:rsid w:val="00553F21"/>
    <w:rsid w:val="00561740"/>
    <w:rsid w:val="00585367"/>
    <w:rsid w:val="00585977"/>
    <w:rsid w:val="00586EDE"/>
    <w:rsid w:val="00597AA5"/>
    <w:rsid w:val="005A6A4E"/>
    <w:rsid w:val="005B2952"/>
    <w:rsid w:val="005C09FA"/>
    <w:rsid w:val="005C3727"/>
    <w:rsid w:val="005C3E37"/>
    <w:rsid w:val="005C3F3A"/>
    <w:rsid w:val="005C4E45"/>
    <w:rsid w:val="005D0262"/>
    <w:rsid w:val="005D3C54"/>
    <w:rsid w:val="005D6350"/>
    <w:rsid w:val="005E5893"/>
    <w:rsid w:val="005E6012"/>
    <w:rsid w:val="005E6D2C"/>
    <w:rsid w:val="005E6EF0"/>
    <w:rsid w:val="005F064A"/>
    <w:rsid w:val="005F1785"/>
    <w:rsid w:val="005F4560"/>
    <w:rsid w:val="005F7BDC"/>
    <w:rsid w:val="00602404"/>
    <w:rsid w:val="0060277B"/>
    <w:rsid w:val="00605650"/>
    <w:rsid w:val="0060723C"/>
    <w:rsid w:val="00611AE3"/>
    <w:rsid w:val="006123CF"/>
    <w:rsid w:val="00621BD9"/>
    <w:rsid w:val="00625BCD"/>
    <w:rsid w:val="00625D1D"/>
    <w:rsid w:val="006267FA"/>
    <w:rsid w:val="00632D4A"/>
    <w:rsid w:val="00633703"/>
    <w:rsid w:val="006403F6"/>
    <w:rsid w:val="00653D73"/>
    <w:rsid w:val="00657B57"/>
    <w:rsid w:val="006738A0"/>
    <w:rsid w:val="00691D1A"/>
    <w:rsid w:val="006A10FD"/>
    <w:rsid w:val="006A18E1"/>
    <w:rsid w:val="006A59D2"/>
    <w:rsid w:val="006A62D2"/>
    <w:rsid w:val="006B0A63"/>
    <w:rsid w:val="006B1707"/>
    <w:rsid w:val="006C4C77"/>
    <w:rsid w:val="006C660E"/>
    <w:rsid w:val="006E3F74"/>
    <w:rsid w:val="006E7C3B"/>
    <w:rsid w:val="006F4783"/>
    <w:rsid w:val="006F49CA"/>
    <w:rsid w:val="00700503"/>
    <w:rsid w:val="00700EB6"/>
    <w:rsid w:val="00704112"/>
    <w:rsid w:val="007129BA"/>
    <w:rsid w:val="00714998"/>
    <w:rsid w:val="007157F6"/>
    <w:rsid w:val="007203D3"/>
    <w:rsid w:val="00722DFC"/>
    <w:rsid w:val="00723D94"/>
    <w:rsid w:val="007240BD"/>
    <w:rsid w:val="00734D9C"/>
    <w:rsid w:val="00741AB7"/>
    <w:rsid w:val="00743F9F"/>
    <w:rsid w:val="00744379"/>
    <w:rsid w:val="007447D6"/>
    <w:rsid w:val="00753743"/>
    <w:rsid w:val="00757AF3"/>
    <w:rsid w:val="00757EEF"/>
    <w:rsid w:val="007612FC"/>
    <w:rsid w:val="00762B40"/>
    <w:rsid w:val="00762FA0"/>
    <w:rsid w:val="00767411"/>
    <w:rsid w:val="00772212"/>
    <w:rsid w:val="00784B28"/>
    <w:rsid w:val="00791B5F"/>
    <w:rsid w:val="007A5685"/>
    <w:rsid w:val="007B3005"/>
    <w:rsid w:val="007B7D7B"/>
    <w:rsid w:val="007C07AA"/>
    <w:rsid w:val="007C2E5C"/>
    <w:rsid w:val="007C3FFA"/>
    <w:rsid w:val="007C6DCE"/>
    <w:rsid w:val="007C7CE5"/>
    <w:rsid w:val="007D1CD0"/>
    <w:rsid w:val="007D562D"/>
    <w:rsid w:val="007D5F07"/>
    <w:rsid w:val="007D6DD4"/>
    <w:rsid w:val="007F1A25"/>
    <w:rsid w:val="007F2C69"/>
    <w:rsid w:val="007F37FA"/>
    <w:rsid w:val="00802BA3"/>
    <w:rsid w:val="00807FFD"/>
    <w:rsid w:val="00817520"/>
    <w:rsid w:val="00817BCA"/>
    <w:rsid w:val="00831C8E"/>
    <w:rsid w:val="0083718A"/>
    <w:rsid w:val="00837A88"/>
    <w:rsid w:val="008420E0"/>
    <w:rsid w:val="0084578E"/>
    <w:rsid w:val="00850915"/>
    <w:rsid w:val="008621CC"/>
    <w:rsid w:val="0086432D"/>
    <w:rsid w:val="00864CE4"/>
    <w:rsid w:val="008657CA"/>
    <w:rsid w:val="00867A3D"/>
    <w:rsid w:val="008719F0"/>
    <w:rsid w:val="00873F46"/>
    <w:rsid w:val="00874C23"/>
    <w:rsid w:val="0087702B"/>
    <w:rsid w:val="008811AC"/>
    <w:rsid w:val="00882161"/>
    <w:rsid w:val="00886A49"/>
    <w:rsid w:val="00891A2D"/>
    <w:rsid w:val="00891AEB"/>
    <w:rsid w:val="00895EB1"/>
    <w:rsid w:val="008A39D5"/>
    <w:rsid w:val="008B05EB"/>
    <w:rsid w:val="008B316D"/>
    <w:rsid w:val="008D24BF"/>
    <w:rsid w:val="008D4F7E"/>
    <w:rsid w:val="008E641A"/>
    <w:rsid w:val="008F015D"/>
    <w:rsid w:val="008F5315"/>
    <w:rsid w:val="008F687A"/>
    <w:rsid w:val="008F76D5"/>
    <w:rsid w:val="00903CA1"/>
    <w:rsid w:val="00903E45"/>
    <w:rsid w:val="0090739A"/>
    <w:rsid w:val="00916E9F"/>
    <w:rsid w:val="009208D6"/>
    <w:rsid w:val="00927C03"/>
    <w:rsid w:val="009316EC"/>
    <w:rsid w:val="00944D70"/>
    <w:rsid w:val="0095643F"/>
    <w:rsid w:val="00956E81"/>
    <w:rsid w:val="00960894"/>
    <w:rsid w:val="00961DB6"/>
    <w:rsid w:val="00971E19"/>
    <w:rsid w:val="009761E9"/>
    <w:rsid w:val="00982DBB"/>
    <w:rsid w:val="00984D53"/>
    <w:rsid w:val="009855EA"/>
    <w:rsid w:val="00986190"/>
    <w:rsid w:val="0098637B"/>
    <w:rsid w:val="00995EC4"/>
    <w:rsid w:val="0099786D"/>
    <w:rsid w:val="009A3063"/>
    <w:rsid w:val="009A35D0"/>
    <w:rsid w:val="009A6F26"/>
    <w:rsid w:val="009B0978"/>
    <w:rsid w:val="009C137E"/>
    <w:rsid w:val="009C256F"/>
    <w:rsid w:val="009C5A21"/>
    <w:rsid w:val="009C798F"/>
    <w:rsid w:val="009D04B6"/>
    <w:rsid w:val="009D6590"/>
    <w:rsid w:val="009F22EA"/>
    <w:rsid w:val="009F7300"/>
    <w:rsid w:val="00A00832"/>
    <w:rsid w:val="00A051CF"/>
    <w:rsid w:val="00A230CE"/>
    <w:rsid w:val="00A25B7E"/>
    <w:rsid w:val="00A278FF"/>
    <w:rsid w:val="00A328FA"/>
    <w:rsid w:val="00A43247"/>
    <w:rsid w:val="00A445E8"/>
    <w:rsid w:val="00A44871"/>
    <w:rsid w:val="00A47AA9"/>
    <w:rsid w:val="00A52E2D"/>
    <w:rsid w:val="00A63899"/>
    <w:rsid w:val="00A75E2B"/>
    <w:rsid w:val="00A8354F"/>
    <w:rsid w:val="00A83E3E"/>
    <w:rsid w:val="00A915A0"/>
    <w:rsid w:val="00A92049"/>
    <w:rsid w:val="00A97602"/>
    <w:rsid w:val="00AB3813"/>
    <w:rsid w:val="00AC4082"/>
    <w:rsid w:val="00AD1BE7"/>
    <w:rsid w:val="00AD7148"/>
    <w:rsid w:val="00AE2FD2"/>
    <w:rsid w:val="00AE3040"/>
    <w:rsid w:val="00AF5686"/>
    <w:rsid w:val="00B035C9"/>
    <w:rsid w:val="00B15472"/>
    <w:rsid w:val="00B16265"/>
    <w:rsid w:val="00B174CF"/>
    <w:rsid w:val="00B24774"/>
    <w:rsid w:val="00B27E51"/>
    <w:rsid w:val="00B3440C"/>
    <w:rsid w:val="00B347B7"/>
    <w:rsid w:val="00B351F7"/>
    <w:rsid w:val="00B37043"/>
    <w:rsid w:val="00B44305"/>
    <w:rsid w:val="00B46155"/>
    <w:rsid w:val="00B517EB"/>
    <w:rsid w:val="00B53EC0"/>
    <w:rsid w:val="00B572D4"/>
    <w:rsid w:val="00B75A18"/>
    <w:rsid w:val="00B77D91"/>
    <w:rsid w:val="00B806C0"/>
    <w:rsid w:val="00B824E6"/>
    <w:rsid w:val="00B82712"/>
    <w:rsid w:val="00B82A47"/>
    <w:rsid w:val="00B85131"/>
    <w:rsid w:val="00B85D2A"/>
    <w:rsid w:val="00BA0B53"/>
    <w:rsid w:val="00BA0F08"/>
    <w:rsid w:val="00BB0E09"/>
    <w:rsid w:val="00BB3A82"/>
    <w:rsid w:val="00BB4E52"/>
    <w:rsid w:val="00BB6366"/>
    <w:rsid w:val="00BC51CB"/>
    <w:rsid w:val="00BD04B8"/>
    <w:rsid w:val="00BE7C39"/>
    <w:rsid w:val="00C033A0"/>
    <w:rsid w:val="00C038D7"/>
    <w:rsid w:val="00C060EA"/>
    <w:rsid w:val="00C07890"/>
    <w:rsid w:val="00C14166"/>
    <w:rsid w:val="00C14A62"/>
    <w:rsid w:val="00C2068E"/>
    <w:rsid w:val="00C44F54"/>
    <w:rsid w:val="00C45301"/>
    <w:rsid w:val="00C454D5"/>
    <w:rsid w:val="00C47A5F"/>
    <w:rsid w:val="00C53A93"/>
    <w:rsid w:val="00C54122"/>
    <w:rsid w:val="00C6193C"/>
    <w:rsid w:val="00C6346E"/>
    <w:rsid w:val="00C655E2"/>
    <w:rsid w:val="00C65801"/>
    <w:rsid w:val="00C70FBC"/>
    <w:rsid w:val="00C75CBE"/>
    <w:rsid w:val="00C80DC1"/>
    <w:rsid w:val="00C81396"/>
    <w:rsid w:val="00C87975"/>
    <w:rsid w:val="00C9146D"/>
    <w:rsid w:val="00CA6595"/>
    <w:rsid w:val="00CB4811"/>
    <w:rsid w:val="00CB764F"/>
    <w:rsid w:val="00CC48D8"/>
    <w:rsid w:val="00CC75A8"/>
    <w:rsid w:val="00CD4559"/>
    <w:rsid w:val="00CD6632"/>
    <w:rsid w:val="00CE2B5A"/>
    <w:rsid w:val="00CF020C"/>
    <w:rsid w:val="00CF1359"/>
    <w:rsid w:val="00D01362"/>
    <w:rsid w:val="00D14A14"/>
    <w:rsid w:val="00D15755"/>
    <w:rsid w:val="00D1631A"/>
    <w:rsid w:val="00D205DC"/>
    <w:rsid w:val="00D21C33"/>
    <w:rsid w:val="00D246AB"/>
    <w:rsid w:val="00D312C7"/>
    <w:rsid w:val="00D463C1"/>
    <w:rsid w:val="00D50097"/>
    <w:rsid w:val="00D5109D"/>
    <w:rsid w:val="00D572B8"/>
    <w:rsid w:val="00D6081D"/>
    <w:rsid w:val="00D61686"/>
    <w:rsid w:val="00D709F2"/>
    <w:rsid w:val="00D738A7"/>
    <w:rsid w:val="00D8013F"/>
    <w:rsid w:val="00D902A3"/>
    <w:rsid w:val="00D963BD"/>
    <w:rsid w:val="00DA23C8"/>
    <w:rsid w:val="00DD6D9C"/>
    <w:rsid w:val="00DE1A8A"/>
    <w:rsid w:val="00DE4E62"/>
    <w:rsid w:val="00DF11D1"/>
    <w:rsid w:val="00E03CA0"/>
    <w:rsid w:val="00E048B6"/>
    <w:rsid w:val="00E06431"/>
    <w:rsid w:val="00E1736F"/>
    <w:rsid w:val="00E21C9D"/>
    <w:rsid w:val="00E2323A"/>
    <w:rsid w:val="00E26A78"/>
    <w:rsid w:val="00E36CD7"/>
    <w:rsid w:val="00E371A6"/>
    <w:rsid w:val="00E40233"/>
    <w:rsid w:val="00E4227B"/>
    <w:rsid w:val="00E42BAF"/>
    <w:rsid w:val="00E45E0F"/>
    <w:rsid w:val="00E47532"/>
    <w:rsid w:val="00E47D3D"/>
    <w:rsid w:val="00E502B8"/>
    <w:rsid w:val="00E529D7"/>
    <w:rsid w:val="00E5509D"/>
    <w:rsid w:val="00E60F03"/>
    <w:rsid w:val="00E63AEA"/>
    <w:rsid w:val="00E707B2"/>
    <w:rsid w:val="00E7254B"/>
    <w:rsid w:val="00E778C4"/>
    <w:rsid w:val="00E936B1"/>
    <w:rsid w:val="00E959B0"/>
    <w:rsid w:val="00E9782E"/>
    <w:rsid w:val="00EA0E13"/>
    <w:rsid w:val="00EA41E1"/>
    <w:rsid w:val="00EA509C"/>
    <w:rsid w:val="00EA66D2"/>
    <w:rsid w:val="00EA6BE1"/>
    <w:rsid w:val="00EB368F"/>
    <w:rsid w:val="00EB42E9"/>
    <w:rsid w:val="00EC1E54"/>
    <w:rsid w:val="00ED0820"/>
    <w:rsid w:val="00ED15B3"/>
    <w:rsid w:val="00EE00C9"/>
    <w:rsid w:val="00EE183F"/>
    <w:rsid w:val="00EE2112"/>
    <w:rsid w:val="00EE5A63"/>
    <w:rsid w:val="00EF10FC"/>
    <w:rsid w:val="00EF3A5B"/>
    <w:rsid w:val="00EF7367"/>
    <w:rsid w:val="00EF7482"/>
    <w:rsid w:val="00F00B8A"/>
    <w:rsid w:val="00F05145"/>
    <w:rsid w:val="00F056C9"/>
    <w:rsid w:val="00F1069A"/>
    <w:rsid w:val="00F13DC8"/>
    <w:rsid w:val="00F153A1"/>
    <w:rsid w:val="00F23796"/>
    <w:rsid w:val="00F320D9"/>
    <w:rsid w:val="00F41E46"/>
    <w:rsid w:val="00F4308A"/>
    <w:rsid w:val="00F44593"/>
    <w:rsid w:val="00F53464"/>
    <w:rsid w:val="00F54185"/>
    <w:rsid w:val="00F63554"/>
    <w:rsid w:val="00F74FC6"/>
    <w:rsid w:val="00F7519C"/>
    <w:rsid w:val="00F92330"/>
    <w:rsid w:val="00F93256"/>
    <w:rsid w:val="00F951F5"/>
    <w:rsid w:val="00F96662"/>
    <w:rsid w:val="00F97024"/>
    <w:rsid w:val="00FA3B09"/>
    <w:rsid w:val="00FA42AC"/>
    <w:rsid w:val="00FA5260"/>
    <w:rsid w:val="00FA55A7"/>
    <w:rsid w:val="00FB68C7"/>
    <w:rsid w:val="00FB7A05"/>
    <w:rsid w:val="00FC4E43"/>
    <w:rsid w:val="00FD72F5"/>
    <w:rsid w:val="00FE4955"/>
    <w:rsid w:val="00FF105B"/>
    <w:rsid w:val="00FF1C2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DE40A"/>
  <w15:chartTrackingRefBased/>
  <w15:docId w15:val="{95D24478-D6E7-408B-B214-95CAC766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F1"/>
  </w:style>
  <w:style w:type="paragraph" w:styleId="Heading1">
    <w:name w:val="heading 1"/>
    <w:basedOn w:val="Normal"/>
    <w:next w:val="Normal"/>
    <w:link w:val="Heading1Char"/>
    <w:uiPriority w:val="9"/>
    <w:qFormat/>
    <w:rsid w:val="00442546"/>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9">
    <w:name w:val="heading 9"/>
    <w:basedOn w:val="Normal"/>
    <w:next w:val="Normal"/>
    <w:link w:val="Heading9Char"/>
    <w:uiPriority w:val="9"/>
    <w:semiHidden/>
    <w:unhideWhenUsed/>
    <w:qFormat/>
    <w:rsid w:val="00F923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BF1"/>
    <w:rPr>
      <w:color w:val="9454C3" w:themeColor="hyperlink"/>
      <w:u w:val="single"/>
    </w:rPr>
  </w:style>
  <w:style w:type="paragraph" w:styleId="ListParagraph">
    <w:name w:val="List Paragraph"/>
    <w:basedOn w:val="Normal"/>
    <w:uiPriority w:val="34"/>
    <w:qFormat/>
    <w:rsid w:val="001E78B9"/>
    <w:pPr>
      <w:ind w:left="720"/>
      <w:contextualSpacing/>
    </w:pPr>
  </w:style>
  <w:style w:type="character" w:styleId="CommentReference">
    <w:name w:val="annotation reference"/>
    <w:basedOn w:val="DefaultParagraphFont"/>
    <w:uiPriority w:val="99"/>
    <w:semiHidden/>
    <w:unhideWhenUsed/>
    <w:rsid w:val="00BB0E09"/>
    <w:rPr>
      <w:sz w:val="16"/>
      <w:szCs w:val="16"/>
    </w:rPr>
  </w:style>
  <w:style w:type="paragraph" w:styleId="CommentText">
    <w:name w:val="annotation text"/>
    <w:basedOn w:val="Normal"/>
    <w:link w:val="CommentTextChar"/>
    <w:uiPriority w:val="99"/>
    <w:semiHidden/>
    <w:unhideWhenUsed/>
    <w:rsid w:val="00BB0E09"/>
    <w:pPr>
      <w:spacing w:line="240" w:lineRule="auto"/>
    </w:pPr>
    <w:rPr>
      <w:sz w:val="20"/>
      <w:szCs w:val="20"/>
    </w:rPr>
  </w:style>
  <w:style w:type="character" w:customStyle="1" w:styleId="CommentTextChar">
    <w:name w:val="Comment Text Char"/>
    <w:basedOn w:val="DefaultParagraphFont"/>
    <w:link w:val="CommentText"/>
    <w:uiPriority w:val="99"/>
    <w:semiHidden/>
    <w:rsid w:val="00BB0E09"/>
    <w:rPr>
      <w:sz w:val="20"/>
      <w:szCs w:val="20"/>
    </w:rPr>
  </w:style>
  <w:style w:type="paragraph" w:styleId="CommentSubject">
    <w:name w:val="annotation subject"/>
    <w:basedOn w:val="CommentText"/>
    <w:next w:val="CommentText"/>
    <w:link w:val="CommentSubjectChar"/>
    <w:uiPriority w:val="99"/>
    <w:semiHidden/>
    <w:unhideWhenUsed/>
    <w:rsid w:val="00BB0E09"/>
    <w:rPr>
      <w:b/>
      <w:bCs/>
    </w:rPr>
  </w:style>
  <w:style w:type="character" w:customStyle="1" w:styleId="CommentSubjectChar">
    <w:name w:val="Comment Subject Char"/>
    <w:basedOn w:val="CommentTextChar"/>
    <w:link w:val="CommentSubject"/>
    <w:uiPriority w:val="99"/>
    <w:semiHidden/>
    <w:rsid w:val="00BB0E09"/>
    <w:rPr>
      <w:b/>
      <w:bCs/>
      <w:sz w:val="20"/>
      <w:szCs w:val="20"/>
    </w:rPr>
  </w:style>
  <w:style w:type="character" w:styleId="UnresolvedMention">
    <w:name w:val="Unresolved Mention"/>
    <w:basedOn w:val="DefaultParagraphFont"/>
    <w:uiPriority w:val="99"/>
    <w:semiHidden/>
    <w:unhideWhenUsed/>
    <w:rsid w:val="005D6350"/>
    <w:rPr>
      <w:color w:val="605E5C"/>
      <w:shd w:val="clear" w:color="auto" w:fill="E1DFDD"/>
    </w:rPr>
  </w:style>
  <w:style w:type="character" w:styleId="FollowedHyperlink">
    <w:name w:val="FollowedHyperlink"/>
    <w:basedOn w:val="DefaultParagraphFont"/>
    <w:uiPriority w:val="99"/>
    <w:semiHidden/>
    <w:unhideWhenUsed/>
    <w:rsid w:val="00A051CF"/>
    <w:rPr>
      <w:color w:val="3EBBF0" w:themeColor="followedHyperlink"/>
      <w:u w:val="single"/>
    </w:rPr>
  </w:style>
  <w:style w:type="paragraph" w:styleId="BalloonText">
    <w:name w:val="Balloon Text"/>
    <w:basedOn w:val="Normal"/>
    <w:link w:val="BalloonTextChar"/>
    <w:uiPriority w:val="99"/>
    <w:semiHidden/>
    <w:unhideWhenUsed/>
    <w:rsid w:val="00986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190"/>
    <w:rPr>
      <w:rFonts w:ascii="Segoe UI" w:hAnsi="Segoe UI" w:cs="Segoe UI"/>
      <w:sz w:val="18"/>
      <w:szCs w:val="18"/>
    </w:rPr>
  </w:style>
  <w:style w:type="paragraph" w:styleId="Header">
    <w:name w:val="header"/>
    <w:basedOn w:val="Normal"/>
    <w:link w:val="HeaderChar"/>
    <w:uiPriority w:val="99"/>
    <w:unhideWhenUsed/>
    <w:rsid w:val="000D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A7"/>
  </w:style>
  <w:style w:type="paragraph" w:styleId="Footer">
    <w:name w:val="footer"/>
    <w:basedOn w:val="Normal"/>
    <w:link w:val="FooterChar"/>
    <w:uiPriority w:val="99"/>
    <w:unhideWhenUsed/>
    <w:rsid w:val="000D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A7"/>
  </w:style>
  <w:style w:type="character" w:styleId="Emphasis">
    <w:name w:val="Emphasis"/>
    <w:basedOn w:val="DefaultParagraphFont"/>
    <w:uiPriority w:val="20"/>
    <w:qFormat/>
    <w:rsid w:val="000B6500"/>
    <w:rPr>
      <w:i/>
      <w:iCs/>
    </w:rPr>
  </w:style>
  <w:style w:type="character" w:customStyle="1" w:styleId="author">
    <w:name w:val="author"/>
    <w:basedOn w:val="DefaultParagraphFont"/>
    <w:rsid w:val="008811AC"/>
  </w:style>
  <w:style w:type="character" w:customStyle="1" w:styleId="articletitle">
    <w:name w:val="articletitle"/>
    <w:basedOn w:val="DefaultParagraphFont"/>
    <w:rsid w:val="008811AC"/>
  </w:style>
  <w:style w:type="character" w:customStyle="1" w:styleId="pubyear">
    <w:name w:val="pubyear"/>
    <w:basedOn w:val="DefaultParagraphFont"/>
    <w:rsid w:val="008811AC"/>
  </w:style>
  <w:style w:type="character" w:customStyle="1" w:styleId="vol">
    <w:name w:val="vol"/>
    <w:basedOn w:val="DefaultParagraphFont"/>
    <w:rsid w:val="008811AC"/>
  </w:style>
  <w:style w:type="character" w:customStyle="1" w:styleId="pagefirst">
    <w:name w:val="pagefirst"/>
    <w:basedOn w:val="DefaultParagraphFont"/>
    <w:rsid w:val="008811AC"/>
  </w:style>
  <w:style w:type="character" w:customStyle="1" w:styleId="pagelast">
    <w:name w:val="pagelast"/>
    <w:basedOn w:val="DefaultParagraphFont"/>
    <w:rsid w:val="008811AC"/>
  </w:style>
  <w:style w:type="table" w:styleId="TableGrid">
    <w:name w:val="Table Grid"/>
    <w:basedOn w:val="TableNormal"/>
    <w:uiPriority w:val="39"/>
    <w:rsid w:val="004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546"/>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00442546"/>
    <w:pPr>
      <w:outlineLvl w:val="9"/>
    </w:pPr>
  </w:style>
  <w:style w:type="character" w:styleId="IntenseReference">
    <w:name w:val="Intense Reference"/>
    <w:basedOn w:val="DefaultParagraphFont"/>
    <w:uiPriority w:val="32"/>
    <w:qFormat/>
    <w:rsid w:val="00F92330"/>
    <w:rPr>
      <w:b/>
      <w:bCs/>
      <w:smallCaps/>
      <w:color w:val="4A66AC" w:themeColor="accent1"/>
      <w:spacing w:val="5"/>
    </w:rPr>
  </w:style>
  <w:style w:type="paragraph" w:styleId="TOC1">
    <w:name w:val="toc 1"/>
    <w:aliases w:val="Primary Header"/>
    <w:basedOn w:val="Heading9"/>
    <w:next w:val="Normal"/>
    <w:autoRedefine/>
    <w:uiPriority w:val="39"/>
    <w:unhideWhenUsed/>
    <w:rsid w:val="00442546"/>
    <w:pPr>
      <w:spacing w:after="100"/>
    </w:pPr>
  </w:style>
  <w:style w:type="character" w:styleId="IntenseEmphasis">
    <w:name w:val="Intense Emphasis"/>
    <w:basedOn w:val="DefaultParagraphFont"/>
    <w:uiPriority w:val="21"/>
    <w:qFormat/>
    <w:rsid w:val="00F92330"/>
    <w:rPr>
      <w:i/>
      <w:iCs/>
      <w:color w:val="4A66AC" w:themeColor="accent1"/>
    </w:rPr>
  </w:style>
  <w:style w:type="paragraph" w:styleId="TOC3">
    <w:name w:val="toc 3"/>
    <w:basedOn w:val="Normal"/>
    <w:next w:val="Normal"/>
    <w:autoRedefine/>
    <w:uiPriority w:val="39"/>
    <w:unhideWhenUsed/>
    <w:rsid w:val="00704112"/>
    <w:pPr>
      <w:spacing w:after="100"/>
      <w:ind w:left="440"/>
    </w:pPr>
    <w:rPr>
      <w:rFonts w:eastAsiaTheme="minorEastAsia" w:cs="Times New Roman"/>
    </w:rPr>
  </w:style>
  <w:style w:type="character" w:customStyle="1" w:styleId="Heading9Char">
    <w:name w:val="Heading 9 Char"/>
    <w:basedOn w:val="DefaultParagraphFont"/>
    <w:link w:val="Heading9"/>
    <w:uiPriority w:val="9"/>
    <w:semiHidden/>
    <w:rsid w:val="00F92330"/>
    <w:rPr>
      <w:rFonts w:asciiTheme="majorHAnsi" w:eastAsiaTheme="majorEastAsia" w:hAnsiTheme="majorHAnsi" w:cstheme="majorBidi"/>
      <w:i/>
      <w:iCs/>
      <w:color w:val="272727" w:themeColor="text1" w:themeTint="D8"/>
      <w:sz w:val="21"/>
      <w:szCs w:val="21"/>
    </w:rPr>
  </w:style>
  <w:style w:type="paragraph" w:styleId="TOC2">
    <w:name w:val="toc 2"/>
    <w:aliases w:val="Secondary Header"/>
    <w:basedOn w:val="Normal"/>
    <w:next w:val="Normal"/>
    <w:autoRedefine/>
    <w:uiPriority w:val="39"/>
    <w:unhideWhenUsed/>
    <w:rsid w:val="00F923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3002">
      <w:bodyDiv w:val="1"/>
      <w:marLeft w:val="0"/>
      <w:marRight w:val="0"/>
      <w:marTop w:val="0"/>
      <w:marBottom w:val="0"/>
      <w:divBdr>
        <w:top w:val="none" w:sz="0" w:space="0" w:color="auto"/>
        <w:left w:val="none" w:sz="0" w:space="0" w:color="auto"/>
        <w:bottom w:val="none" w:sz="0" w:space="0" w:color="auto"/>
        <w:right w:val="none" w:sz="0" w:space="0" w:color="auto"/>
      </w:divBdr>
    </w:div>
    <w:div w:id="197595814">
      <w:bodyDiv w:val="1"/>
      <w:marLeft w:val="0"/>
      <w:marRight w:val="0"/>
      <w:marTop w:val="0"/>
      <w:marBottom w:val="0"/>
      <w:divBdr>
        <w:top w:val="none" w:sz="0" w:space="0" w:color="auto"/>
        <w:left w:val="none" w:sz="0" w:space="0" w:color="auto"/>
        <w:bottom w:val="none" w:sz="0" w:space="0" w:color="auto"/>
        <w:right w:val="none" w:sz="0" w:space="0" w:color="auto"/>
      </w:divBdr>
    </w:div>
    <w:div w:id="295569296">
      <w:bodyDiv w:val="1"/>
      <w:marLeft w:val="0"/>
      <w:marRight w:val="0"/>
      <w:marTop w:val="0"/>
      <w:marBottom w:val="0"/>
      <w:divBdr>
        <w:top w:val="none" w:sz="0" w:space="0" w:color="auto"/>
        <w:left w:val="none" w:sz="0" w:space="0" w:color="auto"/>
        <w:bottom w:val="none" w:sz="0" w:space="0" w:color="auto"/>
        <w:right w:val="none" w:sz="0" w:space="0" w:color="auto"/>
      </w:divBdr>
    </w:div>
    <w:div w:id="296032641">
      <w:bodyDiv w:val="1"/>
      <w:marLeft w:val="0"/>
      <w:marRight w:val="0"/>
      <w:marTop w:val="0"/>
      <w:marBottom w:val="0"/>
      <w:divBdr>
        <w:top w:val="none" w:sz="0" w:space="0" w:color="auto"/>
        <w:left w:val="none" w:sz="0" w:space="0" w:color="auto"/>
        <w:bottom w:val="none" w:sz="0" w:space="0" w:color="auto"/>
        <w:right w:val="none" w:sz="0" w:space="0" w:color="auto"/>
      </w:divBdr>
    </w:div>
    <w:div w:id="301925876">
      <w:bodyDiv w:val="1"/>
      <w:marLeft w:val="0"/>
      <w:marRight w:val="0"/>
      <w:marTop w:val="0"/>
      <w:marBottom w:val="0"/>
      <w:divBdr>
        <w:top w:val="none" w:sz="0" w:space="0" w:color="auto"/>
        <w:left w:val="none" w:sz="0" w:space="0" w:color="auto"/>
        <w:bottom w:val="none" w:sz="0" w:space="0" w:color="auto"/>
        <w:right w:val="none" w:sz="0" w:space="0" w:color="auto"/>
      </w:divBdr>
    </w:div>
    <w:div w:id="306397132">
      <w:bodyDiv w:val="1"/>
      <w:marLeft w:val="0"/>
      <w:marRight w:val="0"/>
      <w:marTop w:val="0"/>
      <w:marBottom w:val="0"/>
      <w:divBdr>
        <w:top w:val="none" w:sz="0" w:space="0" w:color="auto"/>
        <w:left w:val="none" w:sz="0" w:space="0" w:color="auto"/>
        <w:bottom w:val="none" w:sz="0" w:space="0" w:color="auto"/>
        <w:right w:val="none" w:sz="0" w:space="0" w:color="auto"/>
      </w:divBdr>
    </w:div>
    <w:div w:id="448429330">
      <w:bodyDiv w:val="1"/>
      <w:marLeft w:val="0"/>
      <w:marRight w:val="0"/>
      <w:marTop w:val="0"/>
      <w:marBottom w:val="0"/>
      <w:divBdr>
        <w:top w:val="none" w:sz="0" w:space="0" w:color="auto"/>
        <w:left w:val="none" w:sz="0" w:space="0" w:color="auto"/>
        <w:bottom w:val="none" w:sz="0" w:space="0" w:color="auto"/>
        <w:right w:val="none" w:sz="0" w:space="0" w:color="auto"/>
      </w:divBdr>
    </w:div>
    <w:div w:id="585069152">
      <w:bodyDiv w:val="1"/>
      <w:marLeft w:val="0"/>
      <w:marRight w:val="0"/>
      <w:marTop w:val="0"/>
      <w:marBottom w:val="0"/>
      <w:divBdr>
        <w:top w:val="none" w:sz="0" w:space="0" w:color="auto"/>
        <w:left w:val="none" w:sz="0" w:space="0" w:color="auto"/>
        <w:bottom w:val="none" w:sz="0" w:space="0" w:color="auto"/>
        <w:right w:val="none" w:sz="0" w:space="0" w:color="auto"/>
      </w:divBdr>
    </w:div>
    <w:div w:id="668362432">
      <w:bodyDiv w:val="1"/>
      <w:marLeft w:val="0"/>
      <w:marRight w:val="0"/>
      <w:marTop w:val="0"/>
      <w:marBottom w:val="0"/>
      <w:divBdr>
        <w:top w:val="none" w:sz="0" w:space="0" w:color="auto"/>
        <w:left w:val="none" w:sz="0" w:space="0" w:color="auto"/>
        <w:bottom w:val="none" w:sz="0" w:space="0" w:color="auto"/>
        <w:right w:val="none" w:sz="0" w:space="0" w:color="auto"/>
      </w:divBdr>
      <w:divsChild>
        <w:div w:id="987248507">
          <w:marLeft w:val="0"/>
          <w:marRight w:val="0"/>
          <w:marTop w:val="0"/>
          <w:marBottom w:val="0"/>
          <w:divBdr>
            <w:top w:val="none" w:sz="0" w:space="0" w:color="auto"/>
            <w:left w:val="none" w:sz="0" w:space="0" w:color="auto"/>
            <w:bottom w:val="none" w:sz="0" w:space="0" w:color="auto"/>
            <w:right w:val="none" w:sz="0" w:space="0" w:color="auto"/>
          </w:divBdr>
        </w:div>
        <w:div w:id="229459223">
          <w:marLeft w:val="0"/>
          <w:marRight w:val="0"/>
          <w:marTop w:val="0"/>
          <w:marBottom w:val="0"/>
          <w:divBdr>
            <w:top w:val="none" w:sz="0" w:space="0" w:color="auto"/>
            <w:left w:val="none" w:sz="0" w:space="0" w:color="auto"/>
            <w:bottom w:val="none" w:sz="0" w:space="0" w:color="auto"/>
            <w:right w:val="none" w:sz="0" w:space="0" w:color="auto"/>
          </w:divBdr>
        </w:div>
        <w:div w:id="829292882">
          <w:marLeft w:val="0"/>
          <w:marRight w:val="0"/>
          <w:marTop w:val="0"/>
          <w:marBottom w:val="0"/>
          <w:divBdr>
            <w:top w:val="none" w:sz="0" w:space="0" w:color="auto"/>
            <w:left w:val="none" w:sz="0" w:space="0" w:color="auto"/>
            <w:bottom w:val="none" w:sz="0" w:space="0" w:color="auto"/>
            <w:right w:val="none" w:sz="0" w:space="0" w:color="auto"/>
          </w:divBdr>
        </w:div>
      </w:divsChild>
    </w:div>
    <w:div w:id="686903313">
      <w:bodyDiv w:val="1"/>
      <w:marLeft w:val="0"/>
      <w:marRight w:val="0"/>
      <w:marTop w:val="0"/>
      <w:marBottom w:val="0"/>
      <w:divBdr>
        <w:top w:val="none" w:sz="0" w:space="0" w:color="auto"/>
        <w:left w:val="none" w:sz="0" w:space="0" w:color="auto"/>
        <w:bottom w:val="none" w:sz="0" w:space="0" w:color="auto"/>
        <w:right w:val="none" w:sz="0" w:space="0" w:color="auto"/>
      </w:divBdr>
    </w:div>
    <w:div w:id="722098669">
      <w:bodyDiv w:val="1"/>
      <w:marLeft w:val="0"/>
      <w:marRight w:val="0"/>
      <w:marTop w:val="0"/>
      <w:marBottom w:val="0"/>
      <w:divBdr>
        <w:top w:val="none" w:sz="0" w:space="0" w:color="auto"/>
        <w:left w:val="none" w:sz="0" w:space="0" w:color="auto"/>
        <w:bottom w:val="none" w:sz="0" w:space="0" w:color="auto"/>
        <w:right w:val="none" w:sz="0" w:space="0" w:color="auto"/>
      </w:divBdr>
    </w:div>
    <w:div w:id="737745490">
      <w:bodyDiv w:val="1"/>
      <w:marLeft w:val="0"/>
      <w:marRight w:val="0"/>
      <w:marTop w:val="0"/>
      <w:marBottom w:val="0"/>
      <w:divBdr>
        <w:top w:val="none" w:sz="0" w:space="0" w:color="auto"/>
        <w:left w:val="none" w:sz="0" w:space="0" w:color="auto"/>
        <w:bottom w:val="none" w:sz="0" w:space="0" w:color="auto"/>
        <w:right w:val="none" w:sz="0" w:space="0" w:color="auto"/>
      </w:divBdr>
    </w:div>
    <w:div w:id="833491272">
      <w:bodyDiv w:val="1"/>
      <w:marLeft w:val="0"/>
      <w:marRight w:val="0"/>
      <w:marTop w:val="0"/>
      <w:marBottom w:val="0"/>
      <w:divBdr>
        <w:top w:val="none" w:sz="0" w:space="0" w:color="auto"/>
        <w:left w:val="none" w:sz="0" w:space="0" w:color="auto"/>
        <w:bottom w:val="none" w:sz="0" w:space="0" w:color="auto"/>
        <w:right w:val="none" w:sz="0" w:space="0" w:color="auto"/>
      </w:divBdr>
    </w:div>
    <w:div w:id="836772871">
      <w:bodyDiv w:val="1"/>
      <w:marLeft w:val="0"/>
      <w:marRight w:val="0"/>
      <w:marTop w:val="0"/>
      <w:marBottom w:val="0"/>
      <w:divBdr>
        <w:top w:val="none" w:sz="0" w:space="0" w:color="auto"/>
        <w:left w:val="none" w:sz="0" w:space="0" w:color="auto"/>
        <w:bottom w:val="none" w:sz="0" w:space="0" w:color="auto"/>
        <w:right w:val="none" w:sz="0" w:space="0" w:color="auto"/>
      </w:divBdr>
    </w:div>
    <w:div w:id="905990287">
      <w:bodyDiv w:val="1"/>
      <w:marLeft w:val="0"/>
      <w:marRight w:val="0"/>
      <w:marTop w:val="0"/>
      <w:marBottom w:val="0"/>
      <w:divBdr>
        <w:top w:val="none" w:sz="0" w:space="0" w:color="auto"/>
        <w:left w:val="none" w:sz="0" w:space="0" w:color="auto"/>
        <w:bottom w:val="none" w:sz="0" w:space="0" w:color="auto"/>
        <w:right w:val="none" w:sz="0" w:space="0" w:color="auto"/>
      </w:divBdr>
    </w:div>
    <w:div w:id="1364600318">
      <w:bodyDiv w:val="1"/>
      <w:marLeft w:val="0"/>
      <w:marRight w:val="0"/>
      <w:marTop w:val="0"/>
      <w:marBottom w:val="0"/>
      <w:divBdr>
        <w:top w:val="none" w:sz="0" w:space="0" w:color="auto"/>
        <w:left w:val="none" w:sz="0" w:space="0" w:color="auto"/>
        <w:bottom w:val="none" w:sz="0" w:space="0" w:color="auto"/>
        <w:right w:val="none" w:sz="0" w:space="0" w:color="auto"/>
      </w:divBdr>
    </w:div>
    <w:div w:id="1601720394">
      <w:bodyDiv w:val="1"/>
      <w:marLeft w:val="0"/>
      <w:marRight w:val="0"/>
      <w:marTop w:val="0"/>
      <w:marBottom w:val="0"/>
      <w:divBdr>
        <w:top w:val="none" w:sz="0" w:space="0" w:color="auto"/>
        <w:left w:val="none" w:sz="0" w:space="0" w:color="auto"/>
        <w:bottom w:val="none" w:sz="0" w:space="0" w:color="auto"/>
        <w:right w:val="none" w:sz="0" w:space="0" w:color="auto"/>
      </w:divBdr>
    </w:div>
    <w:div w:id="1756130772">
      <w:bodyDiv w:val="1"/>
      <w:marLeft w:val="0"/>
      <w:marRight w:val="0"/>
      <w:marTop w:val="0"/>
      <w:marBottom w:val="0"/>
      <w:divBdr>
        <w:top w:val="none" w:sz="0" w:space="0" w:color="auto"/>
        <w:left w:val="none" w:sz="0" w:space="0" w:color="auto"/>
        <w:bottom w:val="none" w:sz="0" w:space="0" w:color="auto"/>
        <w:right w:val="none" w:sz="0" w:space="0" w:color="auto"/>
      </w:divBdr>
    </w:div>
    <w:div w:id="1805927898">
      <w:bodyDiv w:val="1"/>
      <w:marLeft w:val="0"/>
      <w:marRight w:val="0"/>
      <w:marTop w:val="0"/>
      <w:marBottom w:val="0"/>
      <w:divBdr>
        <w:top w:val="none" w:sz="0" w:space="0" w:color="auto"/>
        <w:left w:val="none" w:sz="0" w:space="0" w:color="auto"/>
        <w:bottom w:val="none" w:sz="0" w:space="0" w:color="auto"/>
        <w:right w:val="none" w:sz="0" w:space="0" w:color="auto"/>
      </w:divBdr>
    </w:div>
    <w:div w:id="18082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AD48B87184B75BA828E804C827AB7"/>
        <w:category>
          <w:name w:val="General"/>
          <w:gallery w:val="placeholder"/>
        </w:category>
        <w:types>
          <w:type w:val="bbPlcHdr"/>
        </w:types>
        <w:behaviors>
          <w:behavior w:val="content"/>
        </w:behaviors>
        <w:guid w:val="{7393D89C-F4D3-4C58-95B7-1835E21237AF}"/>
      </w:docPartPr>
      <w:docPartBody>
        <w:p w:rsidR="007C5FB9" w:rsidRDefault="00373C6B" w:rsidP="00373C6B">
          <w:pPr>
            <w:pStyle w:val="188AD48B87184B75BA828E804C827AB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6B"/>
    <w:rsid w:val="00085321"/>
    <w:rsid w:val="00373C6B"/>
    <w:rsid w:val="007C5FB9"/>
    <w:rsid w:val="0080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D48B87184B75BA828E804C827AB7">
    <w:name w:val="188AD48B87184B75BA828E804C827AB7"/>
    <w:rsid w:val="00373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2D88-4C8D-4DB0-9003-C79AA081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10021</Words>
  <Characters>57124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Eviction and Mental Health</dc:title>
  <dc:subject/>
  <dc:creator>liam a. smith</dc:creator>
  <cp:keywords/>
  <dc:description/>
  <cp:lastModifiedBy>Smith, William Alden</cp:lastModifiedBy>
  <cp:revision>3</cp:revision>
  <dcterms:created xsi:type="dcterms:W3CDTF">2021-04-28T22:02:00Z</dcterms:created>
  <dcterms:modified xsi:type="dcterms:W3CDTF">2021-05-11T00:07:00Z</dcterms:modified>
</cp:coreProperties>
</file>