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B099E" w14:textId="781B5560" w:rsidR="0073315C" w:rsidRPr="008A4582" w:rsidRDefault="00007599" w:rsidP="0073315C">
      <w:pPr>
        <w:rPr>
          <w:rFonts w:asciiTheme="majorHAnsi" w:hAnsiTheme="majorHAnsi"/>
          <w:vertAlign w:val="subscript"/>
        </w:rPr>
      </w:pPr>
      <w:r w:rsidRPr="00B15279">
        <w:rPr>
          <w:rFonts w:asciiTheme="majorHAnsi" w:hAnsiTheme="majorHAnsi"/>
          <w:noProof/>
          <w:szCs w:val="36"/>
        </w:rPr>
        <w:drawing>
          <wp:anchor distT="0" distB="0" distL="0" distR="0" simplePos="0" relativeHeight="251658240" behindDoc="0" locked="0" layoutInCell="1" hidden="0" allowOverlap="1" wp14:editId="2514ACC2">
            <wp:simplePos x="0" y="0"/>
            <wp:positionH relativeFrom="page">
              <wp:posOffset>-32614</wp:posOffset>
            </wp:positionH>
            <wp:positionV relativeFrom="page">
              <wp:posOffset>-109182</wp:posOffset>
            </wp:positionV>
            <wp:extent cx="7821930" cy="10273665"/>
            <wp:effectExtent l="0" t="0" r="0" b="0"/>
            <wp:wrapSquare wrapText="bothSides" distT="0" distB="0" distL="0" distR="0"/>
            <wp:docPr id="126" name="image1.png" descr="A picture containing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website&#10;&#10;Description automatically generated"/>
                    <pic:cNvPicPr preferRelativeResize="0"/>
                  </pic:nvPicPr>
                  <pic:blipFill>
                    <a:blip r:embed="rId8"/>
                    <a:srcRect/>
                    <a:stretch>
                      <a:fillRect/>
                    </a:stretch>
                  </pic:blipFill>
                  <pic:spPr>
                    <a:xfrm>
                      <a:off x="0" y="0"/>
                      <a:ext cx="7821930" cy="10273665"/>
                    </a:xfrm>
                    <a:prstGeom prst="rect">
                      <a:avLst/>
                    </a:prstGeom>
                    <a:ln/>
                  </pic:spPr>
                </pic:pic>
              </a:graphicData>
            </a:graphic>
          </wp:anchor>
        </w:drawing>
      </w:r>
    </w:p>
    <w:p w14:paraId="00000002" w14:textId="0B2D5046"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p>
    <w:p w14:paraId="00000003"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r w:rsidRPr="00B15279">
        <w:rPr>
          <w:rFonts w:asciiTheme="majorHAnsi" w:eastAsia="Century Schoolbook" w:hAnsiTheme="majorHAnsi" w:cs="Century Schoolbook"/>
          <w:szCs w:val="22"/>
        </w:rPr>
        <w:t>Abstract</w:t>
      </w:r>
    </w:p>
    <w:p w14:paraId="00000004"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p>
    <w:p w14:paraId="00000005"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r w:rsidRPr="00B15279">
        <w:rPr>
          <w:rFonts w:asciiTheme="majorHAnsi" w:eastAsia="Century Schoolbook" w:hAnsiTheme="majorHAnsi" w:cs="Century Schoolbook"/>
          <w:szCs w:val="22"/>
        </w:rPr>
        <w:t>of</w:t>
      </w:r>
    </w:p>
    <w:p w14:paraId="00000006"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p>
    <w:p w14:paraId="00000007" w14:textId="51F9FB04"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b/>
          <w:szCs w:val="22"/>
        </w:rPr>
      </w:pPr>
      <w:r w:rsidRPr="00B15279">
        <w:rPr>
          <w:rFonts w:asciiTheme="majorHAnsi" w:eastAsia="Century Schoolbook" w:hAnsiTheme="majorHAnsi" w:cs="Century Schoolbook"/>
          <w:b/>
        </w:rPr>
        <w:t>Equity and Walkability in the Sacramento Region</w:t>
      </w:r>
    </w:p>
    <w:p w14:paraId="00000008"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p>
    <w:p w14:paraId="00000009"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r w:rsidRPr="00B15279">
        <w:rPr>
          <w:rFonts w:asciiTheme="majorHAnsi" w:eastAsia="Century Schoolbook" w:hAnsiTheme="majorHAnsi" w:cs="Century Schoolbook"/>
          <w:szCs w:val="22"/>
        </w:rPr>
        <w:t>by</w:t>
      </w:r>
    </w:p>
    <w:p w14:paraId="0000000A" w14:textId="6499B756"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p>
    <w:p w14:paraId="0000000B" w14:textId="4F1B965E"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b/>
          <w:szCs w:val="22"/>
        </w:rPr>
      </w:pPr>
      <w:r w:rsidRPr="00B15279">
        <w:rPr>
          <w:rFonts w:asciiTheme="majorHAnsi" w:eastAsia="Century Schoolbook" w:hAnsiTheme="majorHAnsi" w:cs="Century Schoolbook"/>
          <w:b/>
          <w:szCs w:val="22"/>
        </w:rPr>
        <w:t xml:space="preserve">To Lan </w:t>
      </w:r>
      <w:proofErr w:type="spellStart"/>
      <w:r w:rsidRPr="00B15279">
        <w:rPr>
          <w:rFonts w:asciiTheme="majorHAnsi" w:eastAsia="Century Schoolbook" w:hAnsiTheme="majorHAnsi" w:cs="Century Schoolbook"/>
          <w:b/>
          <w:szCs w:val="22"/>
        </w:rPr>
        <w:t>Mong</w:t>
      </w:r>
      <w:proofErr w:type="spellEnd"/>
      <w:r w:rsidRPr="00B15279">
        <w:rPr>
          <w:rFonts w:asciiTheme="majorHAnsi" w:eastAsia="Century Schoolbook" w:hAnsiTheme="majorHAnsi" w:cs="Century Schoolbook"/>
          <w:b/>
          <w:szCs w:val="22"/>
        </w:rPr>
        <w:t xml:space="preserve"> Phin</w:t>
      </w:r>
    </w:p>
    <w:p w14:paraId="0000000C"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eastAsia="Century Schoolbook" w:hAnsiTheme="majorHAnsi" w:cs="Century Schoolbook"/>
          <w:szCs w:val="22"/>
        </w:rPr>
      </w:pPr>
    </w:p>
    <w:p w14:paraId="0000000D" w14:textId="00CB5E55"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jc w:val="center"/>
        <w:rPr>
          <w:rFonts w:asciiTheme="majorHAnsi" w:hAnsiTheme="majorHAnsi"/>
          <w:szCs w:val="22"/>
        </w:rPr>
      </w:pPr>
    </w:p>
    <w:p w14:paraId="0000000E"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hAnsiTheme="majorHAnsi"/>
          <w:i/>
          <w:szCs w:val="22"/>
        </w:rPr>
      </w:pPr>
    </w:p>
    <w:p w14:paraId="0000000F"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hAnsiTheme="majorHAnsi"/>
        </w:rPr>
      </w:pPr>
    </w:p>
    <w:p w14:paraId="00000010" w14:textId="1F6DB1D6"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b/>
          <w:i/>
          <w:szCs w:val="22"/>
        </w:rPr>
      </w:pPr>
      <w:bookmarkStart w:id="0" w:name="_heading=h.gjdgxs" w:colFirst="0" w:colLast="0"/>
      <w:bookmarkEnd w:id="0"/>
      <w:r w:rsidRPr="00B15279">
        <w:rPr>
          <w:rFonts w:asciiTheme="majorHAnsi" w:eastAsia="Century Schoolbook" w:hAnsiTheme="majorHAnsi" w:cs="Century Schoolbook"/>
          <w:b/>
          <w:i/>
          <w:szCs w:val="22"/>
        </w:rPr>
        <w:t>Introduction</w:t>
      </w:r>
    </w:p>
    <w:p w14:paraId="00000011" w14:textId="1EE597BA"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i/>
          <w:szCs w:val="22"/>
        </w:rPr>
      </w:pPr>
    </w:p>
    <w:p w14:paraId="00000012" w14:textId="2B4B890D" w:rsidR="00284308" w:rsidRPr="00B15279" w:rsidRDefault="00EE5CAD">
      <w:pPr>
        <w:spacing w:line="480" w:lineRule="auto"/>
        <w:ind w:firstLine="720"/>
        <w:rPr>
          <w:rFonts w:asciiTheme="majorHAnsi" w:eastAsia="Century Schoolbook" w:hAnsiTheme="majorHAnsi" w:cs="Century Schoolbook"/>
          <w:color w:val="0E101A"/>
          <w:szCs w:val="22"/>
        </w:rPr>
      </w:pPr>
      <w:r w:rsidRPr="00B15279">
        <w:rPr>
          <w:rFonts w:asciiTheme="majorHAnsi" w:eastAsia="Century Schoolbook" w:hAnsiTheme="majorHAnsi" w:cs="Century Schoolbook"/>
          <w:color w:val="0E101A"/>
          <w:szCs w:val="22"/>
        </w:rPr>
        <w:t>Pedestrian walkability provides health and environmental benefits by encouraging individuals to exercise and rely less on automobiles for local mobility. Yet the City of Sacramento ranked 19</w:t>
      </w:r>
      <w:r w:rsidRPr="00B15279">
        <w:rPr>
          <w:rFonts w:asciiTheme="majorHAnsi" w:eastAsia="Century Schoolbook" w:hAnsiTheme="majorHAnsi" w:cs="Century Schoolbook"/>
          <w:color w:val="0E101A"/>
          <w:szCs w:val="22"/>
          <w:vertAlign w:val="superscript"/>
        </w:rPr>
        <w:t>th</w:t>
      </w:r>
      <w:r w:rsidRPr="00B15279">
        <w:rPr>
          <w:rFonts w:asciiTheme="majorHAnsi" w:eastAsia="Century Schoolbook" w:hAnsiTheme="majorHAnsi" w:cs="Century Schoolbook"/>
          <w:color w:val="0E101A"/>
          <w:szCs w:val="22"/>
        </w:rPr>
        <w:t xml:space="preserve"> among the 30 largest metropolitan areas in the United States fo</w:t>
      </w:r>
      <w:r w:rsidRPr="00B15279">
        <w:rPr>
          <w:rFonts w:asciiTheme="majorHAnsi" w:eastAsia="Century Schoolbook" w:hAnsiTheme="majorHAnsi" w:cs="Century Schoolbook"/>
          <w:color w:val="0E101A"/>
          <w:szCs w:val="22"/>
        </w:rPr>
        <w:t>r pedestrian friendliness (</w:t>
      </w:r>
      <w:proofErr w:type="spellStart"/>
      <w:r w:rsidRPr="00B15279">
        <w:rPr>
          <w:rFonts w:asciiTheme="majorHAnsi" w:eastAsia="Century Schoolbook" w:hAnsiTheme="majorHAnsi" w:cs="Century Schoolbook"/>
          <w:color w:val="0E101A"/>
          <w:szCs w:val="22"/>
        </w:rPr>
        <w:t>Loh</w:t>
      </w:r>
      <w:proofErr w:type="spellEnd"/>
      <w:r w:rsidRPr="00B15279">
        <w:rPr>
          <w:rFonts w:asciiTheme="majorHAnsi" w:eastAsia="Century Schoolbook" w:hAnsiTheme="majorHAnsi" w:cs="Century Schoolbook"/>
          <w:color w:val="0E101A"/>
          <w:szCs w:val="22"/>
        </w:rPr>
        <w:t xml:space="preserve">, </w:t>
      </w:r>
      <w:proofErr w:type="spellStart"/>
      <w:r w:rsidRPr="00B15279">
        <w:rPr>
          <w:rFonts w:asciiTheme="majorHAnsi" w:eastAsia="Century Schoolbook" w:hAnsiTheme="majorHAnsi" w:cs="Century Schoolbook"/>
          <w:color w:val="0E101A"/>
          <w:szCs w:val="22"/>
        </w:rPr>
        <w:t>Leinberger</w:t>
      </w:r>
      <w:proofErr w:type="spellEnd"/>
      <w:r w:rsidRPr="00B15279">
        <w:rPr>
          <w:rFonts w:asciiTheme="majorHAnsi" w:eastAsia="Century Schoolbook" w:hAnsiTheme="majorHAnsi" w:cs="Century Schoolbook"/>
          <w:color w:val="0E101A"/>
          <w:szCs w:val="22"/>
        </w:rPr>
        <w:t xml:space="preserve">, &amp; </w:t>
      </w:r>
      <w:proofErr w:type="spellStart"/>
      <w:r w:rsidRPr="00B15279">
        <w:rPr>
          <w:rFonts w:asciiTheme="majorHAnsi" w:eastAsia="Century Schoolbook" w:hAnsiTheme="majorHAnsi" w:cs="Century Schoolbook"/>
          <w:color w:val="0E101A"/>
          <w:szCs w:val="22"/>
        </w:rPr>
        <w:t>Chafetz</w:t>
      </w:r>
      <w:proofErr w:type="spellEnd"/>
      <w:r w:rsidRPr="00B15279">
        <w:rPr>
          <w:rFonts w:asciiTheme="majorHAnsi" w:eastAsia="Century Schoolbook" w:hAnsiTheme="majorHAnsi" w:cs="Century Schoolbook"/>
          <w:color w:val="0E101A"/>
          <w:szCs w:val="22"/>
        </w:rPr>
        <w:t>, 2019).  As a case study, this report focuses on the Franklin Boulevard Neighborhood in Sacramento to evaluate policy alternatives to increase walkability.</w:t>
      </w:r>
    </w:p>
    <w:p w14:paraId="00000013" w14:textId="463A10CA"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b/>
          <w:i/>
          <w:szCs w:val="22"/>
        </w:rPr>
      </w:pPr>
      <w:r w:rsidRPr="00B15279">
        <w:rPr>
          <w:rFonts w:asciiTheme="majorHAnsi" w:eastAsia="Century Schoolbook" w:hAnsiTheme="majorHAnsi" w:cs="Century Schoolbook"/>
          <w:b/>
          <w:i/>
          <w:szCs w:val="22"/>
        </w:rPr>
        <w:t>Method</w:t>
      </w:r>
    </w:p>
    <w:p w14:paraId="00000014" w14:textId="0FA30B58"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i/>
          <w:szCs w:val="22"/>
        </w:rPr>
      </w:pPr>
    </w:p>
    <w:p w14:paraId="00000015" w14:textId="5F73A304"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line="480" w:lineRule="auto"/>
        <w:rPr>
          <w:rFonts w:asciiTheme="majorHAnsi" w:eastAsia="Century Schoolbook" w:hAnsiTheme="majorHAnsi" w:cs="Century Schoolbook"/>
          <w:szCs w:val="22"/>
        </w:rPr>
      </w:pPr>
      <w:r w:rsidRPr="00B15279">
        <w:rPr>
          <w:rFonts w:asciiTheme="majorHAnsi" w:eastAsia="Century Schoolbook" w:hAnsiTheme="majorHAnsi" w:cs="Century Schoolbook"/>
          <w:color w:val="0E101A"/>
        </w:rPr>
        <w:tab/>
      </w:r>
      <w:r w:rsidRPr="00B15279">
        <w:rPr>
          <w:rFonts w:asciiTheme="majorHAnsi" w:eastAsia="Century Schoolbook" w:hAnsiTheme="majorHAnsi" w:cs="Century Schoolbook"/>
          <w:color w:val="0E101A"/>
        </w:rPr>
        <w:t>The structure of this report follows the form of a five-step rational policy analysis to recommend a policy alternative to increase walkability in disadvantaged neighborhoods and suggest actions for the Sacramento Area Council of Governments (SACOG) to pro</w:t>
      </w:r>
      <w:r w:rsidRPr="00B15279">
        <w:rPr>
          <w:rFonts w:asciiTheme="majorHAnsi" w:eastAsia="Century Schoolbook" w:hAnsiTheme="majorHAnsi" w:cs="Century Schoolbook"/>
          <w:color w:val="0E101A"/>
        </w:rPr>
        <w:t xml:space="preserve">mote initiatives that increase pedestrian-friendly streets in such neighborhoods. The lack of walkability should be a concern for SACOG as strategies for regional planning contain goals relating to equity, climate friendliness, and encouraging a healthier </w:t>
      </w:r>
      <w:r w:rsidRPr="00B15279">
        <w:rPr>
          <w:rFonts w:asciiTheme="majorHAnsi" w:eastAsia="Century Schoolbook" w:hAnsiTheme="majorHAnsi" w:cs="Century Schoolbook"/>
          <w:color w:val="0E101A"/>
        </w:rPr>
        <w:t xml:space="preserve">lifestyle.  </w:t>
      </w:r>
    </w:p>
    <w:p w14:paraId="00000016"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b/>
          <w:i/>
          <w:szCs w:val="22"/>
        </w:rPr>
      </w:pPr>
      <w:r w:rsidRPr="00B15279">
        <w:rPr>
          <w:rFonts w:asciiTheme="majorHAnsi" w:eastAsia="Century Schoolbook" w:hAnsiTheme="majorHAnsi" w:cs="Century Schoolbook"/>
          <w:b/>
          <w:i/>
          <w:szCs w:val="22"/>
        </w:rPr>
        <w:t xml:space="preserve">Literature Review </w:t>
      </w:r>
    </w:p>
    <w:p w14:paraId="00000017"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i/>
          <w:szCs w:val="22"/>
        </w:rPr>
      </w:pPr>
    </w:p>
    <w:p w14:paraId="00000018"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line="480" w:lineRule="auto"/>
        <w:rPr>
          <w:rFonts w:asciiTheme="majorHAnsi" w:eastAsia="Century Schoolbook" w:hAnsiTheme="majorHAnsi" w:cs="Century Schoolbook"/>
          <w:color w:val="0E101A"/>
          <w:szCs w:val="22"/>
        </w:rPr>
      </w:pPr>
      <w:r w:rsidRPr="00B15279">
        <w:rPr>
          <w:rFonts w:asciiTheme="majorHAnsi" w:eastAsia="Century Schoolbook" w:hAnsiTheme="majorHAnsi" w:cs="Century Schoolbook"/>
          <w:color w:val="0E101A"/>
          <w:szCs w:val="22"/>
        </w:rPr>
        <w:lastRenderedPageBreak/>
        <w:tab/>
        <w:t>The literature review highlights the finding of previous quantitative research that higher property values are associated with higher neighborhood walkability as measured by a higher Walk Score.  My own regression-based re</w:t>
      </w:r>
      <w:r w:rsidRPr="00B15279">
        <w:rPr>
          <w:rFonts w:asciiTheme="majorHAnsi" w:eastAsia="Century Schoolbook" w:hAnsiTheme="majorHAnsi" w:cs="Century Schoolbook"/>
          <w:color w:val="0E101A"/>
          <w:szCs w:val="22"/>
        </w:rPr>
        <w:t xml:space="preserve">search on this topic showed that for every one-unit Walk Score increase, the selling price of a Sacramento Area home increased by about $500.  A review of the previous qualitative literature found that individuals consistently express interest in walkable </w:t>
      </w:r>
      <w:r w:rsidRPr="00B15279">
        <w:rPr>
          <w:rFonts w:asciiTheme="majorHAnsi" w:eastAsia="Century Schoolbook" w:hAnsiTheme="majorHAnsi" w:cs="Century Schoolbook"/>
          <w:color w:val="0E101A"/>
          <w:szCs w:val="22"/>
        </w:rPr>
        <w:t xml:space="preserve">neighborhoods, but higher income households are far more likely to live in them. </w:t>
      </w:r>
    </w:p>
    <w:p w14:paraId="00000019"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line="480" w:lineRule="auto"/>
        <w:rPr>
          <w:rFonts w:asciiTheme="majorHAnsi" w:eastAsia="Century Schoolbook" w:hAnsiTheme="majorHAnsi" w:cs="Century Schoolbook"/>
          <w:b/>
          <w:i/>
          <w:color w:val="0E101A"/>
          <w:szCs w:val="22"/>
        </w:rPr>
      </w:pPr>
      <w:r w:rsidRPr="00B15279">
        <w:rPr>
          <w:rFonts w:asciiTheme="majorHAnsi" w:eastAsia="Century Schoolbook" w:hAnsiTheme="majorHAnsi" w:cs="Century Schoolbook"/>
          <w:b/>
          <w:i/>
          <w:color w:val="0E101A"/>
          <w:szCs w:val="22"/>
        </w:rPr>
        <w:t xml:space="preserve">Promising Practices </w:t>
      </w:r>
    </w:p>
    <w:p w14:paraId="0000001A"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line="480" w:lineRule="auto"/>
        <w:rPr>
          <w:rFonts w:asciiTheme="majorHAnsi" w:eastAsia="Century Schoolbook" w:hAnsiTheme="majorHAnsi" w:cs="Century Schoolbook"/>
          <w:szCs w:val="20"/>
        </w:rPr>
      </w:pPr>
      <w:r w:rsidRPr="00B15279">
        <w:rPr>
          <w:rFonts w:asciiTheme="majorHAnsi" w:eastAsia="Century Schoolbook" w:hAnsiTheme="majorHAnsi" w:cs="Century Schoolbook"/>
          <w:color w:val="0E101A"/>
          <w:szCs w:val="22"/>
        </w:rPr>
        <w:tab/>
        <w:t>I pay particular attention to the City of Seattle’s initiatives to increase walkability, which encompasses successful strategies employed in other large</w:t>
      </w:r>
      <w:r w:rsidRPr="00B15279">
        <w:rPr>
          <w:rFonts w:asciiTheme="majorHAnsi" w:eastAsia="Century Schoolbook" w:hAnsiTheme="majorHAnsi" w:cs="Century Schoolbook"/>
          <w:color w:val="0E101A"/>
          <w:szCs w:val="22"/>
        </w:rPr>
        <w:t xml:space="preserve"> U.S. cities. A summary of these practices is included along with the City of Seattle’s development of a strategic blueprint along with performance measures called the Pedestrian Master Plan (PMP). Of note, and summarized, is Seattle’s use of a data-driven</w:t>
      </w:r>
      <w:r w:rsidRPr="00B15279">
        <w:rPr>
          <w:rFonts w:asciiTheme="majorHAnsi" w:eastAsia="Century Schoolbook" w:hAnsiTheme="majorHAnsi" w:cs="Century Schoolbook"/>
          <w:color w:val="0E101A"/>
          <w:szCs w:val="22"/>
        </w:rPr>
        <w:t xml:space="preserve"> approach to leverage existing resources and funding.</w:t>
      </w:r>
    </w:p>
    <w:p w14:paraId="0000001B"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b/>
          <w:i/>
          <w:szCs w:val="22"/>
        </w:rPr>
      </w:pPr>
      <w:r w:rsidRPr="00B15279">
        <w:rPr>
          <w:rFonts w:asciiTheme="majorHAnsi" w:eastAsia="Century Schoolbook" w:hAnsiTheme="majorHAnsi" w:cs="Century Schoolbook"/>
          <w:b/>
          <w:i/>
          <w:szCs w:val="22"/>
        </w:rPr>
        <w:t>Criteria and Alternatives</w:t>
      </w:r>
    </w:p>
    <w:p w14:paraId="0000001C"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i/>
          <w:szCs w:val="22"/>
        </w:rPr>
      </w:pPr>
    </w:p>
    <w:p w14:paraId="0000001D" w14:textId="77777777" w:rsidR="00284308" w:rsidRPr="00B15279" w:rsidRDefault="00EE5CAD">
      <w:pPr>
        <w:spacing w:line="480" w:lineRule="auto"/>
        <w:ind w:firstLine="720"/>
        <w:rPr>
          <w:rFonts w:asciiTheme="majorHAnsi" w:eastAsia="Century Schoolbook" w:hAnsiTheme="majorHAnsi" w:cs="Century Schoolbook"/>
          <w:szCs w:val="22"/>
        </w:rPr>
      </w:pPr>
      <w:r w:rsidRPr="00B15279">
        <w:rPr>
          <w:rFonts w:asciiTheme="majorHAnsi" w:eastAsia="Century Schoolbook" w:hAnsiTheme="majorHAnsi" w:cs="Century Schoolbook"/>
          <w:color w:val="0E101A"/>
          <w:szCs w:val="22"/>
        </w:rPr>
        <w:t>The two alternatives considered to improve the walkability of existing neighborhoods, include the development of pedestrian refuge islands and a strategy to nudge individuals to walk such as establishing partnerships with Safe Routes to School (SRTS) to te</w:t>
      </w:r>
      <w:r w:rsidRPr="00B15279">
        <w:rPr>
          <w:rFonts w:asciiTheme="majorHAnsi" w:eastAsia="Century Schoolbook" w:hAnsiTheme="majorHAnsi" w:cs="Century Schoolbook"/>
          <w:color w:val="0E101A"/>
          <w:szCs w:val="22"/>
        </w:rPr>
        <w:t>ach children about the benefits of walking or sharing accurate information through a pedestrian wayfinding system.  The criteria used to evaluate and decide the final recommendations to SACOG for the Franklin Boulevard Neighborhood included an account of t</w:t>
      </w:r>
      <w:r w:rsidRPr="00B15279">
        <w:rPr>
          <w:rFonts w:asciiTheme="majorHAnsi" w:eastAsia="Century Schoolbook" w:hAnsiTheme="majorHAnsi" w:cs="Century Schoolbook"/>
          <w:color w:val="0E101A"/>
          <w:szCs w:val="22"/>
        </w:rPr>
        <w:t xml:space="preserve">he equity, political acceptability, administrative acceptability, and cost-efficiency of the alternatives.  </w:t>
      </w:r>
    </w:p>
    <w:p w14:paraId="0000001E"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b/>
          <w:i/>
          <w:szCs w:val="22"/>
        </w:rPr>
      </w:pPr>
      <w:r w:rsidRPr="00B15279">
        <w:rPr>
          <w:rFonts w:asciiTheme="majorHAnsi" w:eastAsia="Century Schoolbook" w:hAnsiTheme="majorHAnsi" w:cs="Century Schoolbook"/>
          <w:b/>
          <w:i/>
          <w:szCs w:val="22"/>
        </w:rPr>
        <w:lastRenderedPageBreak/>
        <w:t>Recommendations</w:t>
      </w:r>
    </w:p>
    <w:p w14:paraId="0000001F"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i/>
          <w:szCs w:val="22"/>
        </w:rPr>
      </w:pPr>
    </w:p>
    <w:p w14:paraId="00000020"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spacing w:line="480" w:lineRule="auto"/>
        <w:rPr>
          <w:rFonts w:asciiTheme="majorHAnsi" w:eastAsia="Century Schoolbook" w:hAnsiTheme="majorHAnsi" w:cs="Century Schoolbook"/>
          <w:szCs w:val="20"/>
        </w:rPr>
      </w:pPr>
      <w:r w:rsidRPr="00B15279">
        <w:rPr>
          <w:rFonts w:asciiTheme="majorHAnsi" w:eastAsia="Century Schoolbook" w:hAnsiTheme="majorHAnsi" w:cs="Century Schoolbook"/>
          <w:color w:val="0E101A"/>
          <w:szCs w:val="22"/>
        </w:rPr>
        <w:tab/>
        <w:t>Based on my analysis, I conclude that ensuring the safety of pedestrians is the most desired policy intervention to generate grea</w:t>
      </w:r>
      <w:r w:rsidRPr="00B15279">
        <w:rPr>
          <w:rFonts w:asciiTheme="majorHAnsi" w:eastAsia="Century Schoolbook" w:hAnsiTheme="majorHAnsi" w:cs="Century Schoolbook"/>
          <w:color w:val="0E101A"/>
          <w:szCs w:val="22"/>
        </w:rPr>
        <w:t>ter walkability and recommend the implementation of a pedestrian refuge island for a crosswalk along Franklin Boulevard. In addition, I conclude that SACOG could better support city and county pedestrian-friendly initiatives in existing neighborhoods throu</w:t>
      </w:r>
      <w:r w:rsidRPr="00B15279">
        <w:rPr>
          <w:rFonts w:asciiTheme="majorHAnsi" w:eastAsia="Century Schoolbook" w:hAnsiTheme="majorHAnsi" w:cs="Century Schoolbook"/>
          <w:color w:val="0E101A"/>
          <w:szCs w:val="22"/>
        </w:rPr>
        <w:t>gh a refinement of their funding application category where selection is not entirely based on a Benefit/Cost Ratio, but instead points given for increasing walkability due to the project.</w:t>
      </w:r>
    </w:p>
    <w:p w14:paraId="00000021"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szCs w:val="22"/>
        </w:rPr>
      </w:pPr>
    </w:p>
    <w:p w14:paraId="00000022"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szCs w:val="22"/>
        </w:rPr>
      </w:pPr>
    </w:p>
    <w:p w14:paraId="00000023" w14:textId="77777777" w:rsidR="00284308" w:rsidRPr="00B15279" w:rsidRDefault="00284308">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szCs w:val="22"/>
        </w:rPr>
      </w:pPr>
    </w:p>
    <w:p w14:paraId="00000024"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szCs w:val="22"/>
        </w:rPr>
      </w:pPr>
      <w:r w:rsidRPr="00B15279">
        <w:rPr>
          <w:rFonts w:asciiTheme="majorHAnsi" w:eastAsia="Century Schoolbook" w:hAnsiTheme="majorHAnsi" w:cs="Century Schoolbook"/>
          <w:szCs w:val="22"/>
        </w:rPr>
        <w:t>_______________________, Committee Chair</w:t>
      </w:r>
    </w:p>
    <w:p w14:paraId="00000025" w14:textId="77777777" w:rsidR="00284308" w:rsidRPr="00B15279" w:rsidRDefault="00EE5CAD">
      <w:pPr>
        <w:tabs>
          <w:tab w:val="left" w:pos="-90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s>
        <w:rPr>
          <w:rFonts w:asciiTheme="majorHAnsi" w:eastAsia="Century Schoolbook" w:hAnsiTheme="majorHAnsi" w:cs="Century Schoolbook"/>
          <w:szCs w:val="22"/>
        </w:rPr>
      </w:pPr>
      <w:r w:rsidRPr="00B15279">
        <w:rPr>
          <w:rFonts w:asciiTheme="majorHAnsi" w:eastAsia="Century Schoolbook" w:hAnsiTheme="majorHAnsi" w:cs="Century Schoolbook"/>
          <w:szCs w:val="22"/>
        </w:rPr>
        <w:t xml:space="preserve">Robert W. </w:t>
      </w:r>
      <w:proofErr w:type="spellStart"/>
      <w:r w:rsidRPr="00B15279">
        <w:rPr>
          <w:rFonts w:asciiTheme="majorHAnsi" w:eastAsia="Century Schoolbook" w:hAnsiTheme="majorHAnsi" w:cs="Century Schoolbook"/>
          <w:szCs w:val="22"/>
        </w:rPr>
        <w:t>Wassmer</w:t>
      </w:r>
      <w:proofErr w:type="spellEnd"/>
    </w:p>
    <w:p w14:paraId="00000026" w14:textId="77777777" w:rsidR="00284308" w:rsidRPr="00B15279" w:rsidRDefault="00284308">
      <w:pPr>
        <w:rPr>
          <w:rFonts w:asciiTheme="majorHAnsi" w:eastAsia="Century Schoolbook" w:hAnsiTheme="majorHAnsi" w:cs="Century Schoolbook"/>
        </w:rPr>
      </w:pPr>
    </w:p>
    <w:p w14:paraId="00000027" w14:textId="77777777" w:rsidR="00284308" w:rsidRPr="00B15279" w:rsidRDefault="00284308">
      <w:pPr>
        <w:rPr>
          <w:rFonts w:asciiTheme="majorHAnsi" w:eastAsia="Century Schoolbook" w:hAnsiTheme="majorHAnsi" w:cs="Century Schoolbook"/>
        </w:rPr>
      </w:pPr>
    </w:p>
    <w:p w14:paraId="00000028" w14:textId="77777777" w:rsidR="00284308" w:rsidRPr="00B15279" w:rsidRDefault="00EE5CAD">
      <w:pPr>
        <w:rPr>
          <w:rFonts w:asciiTheme="majorHAnsi" w:eastAsia="Century Schoolbook" w:hAnsiTheme="majorHAnsi" w:cs="Century Schoolbook"/>
          <w:szCs w:val="22"/>
          <w:u w:val="single"/>
        </w:rPr>
      </w:pPr>
      <w:r w:rsidRPr="00B15279">
        <w:rPr>
          <w:rFonts w:asciiTheme="majorHAnsi" w:eastAsia="Century Schoolbook" w:hAnsiTheme="majorHAnsi" w:cs="Century Schoolbook"/>
          <w:szCs w:val="22"/>
          <w:u w:val="single"/>
        </w:rPr>
        <w:t>__M</w:t>
      </w:r>
      <w:r w:rsidRPr="00B15279">
        <w:rPr>
          <w:rFonts w:asciiTheme="majorHAnsi" w:eastAsia="Century Schoolbook" w:hAnsiTheme="majorHAnsi" w:cs="Century Schoolbook"/>
          <w:szCs w:val="22"/>
          <w:u w:val="single"/>
        </w:rPr>
        <w:t>ay 3, 2021_____________________</w:t>
      </w:r>
    </w:p>
    <w:p w14:paraId="00000029" w14:textId="77777777" w:rsidR="00284308" w:rsidRPr="00B15279" w:rsidRDefault="00EE5CAD">
      <w:pPr>
        <w:rPr>
          <w:rFonts w:asciiTheme="majorHAnsi" w:eastAsia="Century Schoolbook" w:hAnsiTheme="majorHAnsi" w:cs="Century Schoolbook"/>
        </w:rPr>
      </w:pPr>
      <w:r w:rsidRPr="00B15279">
        <w:rPr>
          <w:rFonts w:asciiTheme="majorHAnsi" w:eastAsia="Century Schoolbook" w:hAnsiTheme="majorHAnsi" w:cs="Century Schoolbook"/>
          <w:szCs w:val="22"/>
        </w:rPr>
        <w:t>Date</w:t>
      </w:r>
      <w:r w:rsidRPr="00B15279">
        <w:rPr>
          <w:rFonts w:asciiTheme="majorHAnsi" w:eastAsia="Century Schoolbook" w:hAnsiTheme="majorHAnsi" w:cs="Century Schoolbook"/>
        </w:rPr>
        <w:t xml:space="preserve"> </w:t>
      </w:r>
    </w:p>
    <w:p w14:paraId="0000002A" w14:textId="77777777" w:rsidR="00284308" w:rsidRPr="00B15279" w:rsidRDefault="00284308">
      <w:pPr>
        <w:rPr>
          <w:rFonts w:asciiTheme="majorHAnsi" w:eastAsia="Century Schoolbook" w:hAnsiTheme="majorHAnsi" w:cs="Century Schoolbook"/>
        </w:rPr>
      </w:pPr>
    </w:p>
    <w:p w14:paraId="0000002B"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2C"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2D"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2E"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2F"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30"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31"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32"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33"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34" w14:textId="77777777" w:rsidR="00284308" w:rsidRPr="00B15279" w:rsidRDefault="00284308">
      <w:pPr>
        <w:pBdr>
          <w:top w:val="nil"/>
          <w:left w:val="nil"/>
          <w:bottom w:val="nil"/>
          <w:right w:val="nil"/>
          <w:between w:val="nil"/>
        </w:pBdr>
        <w:spacing w:line="480" w:lineRule="auto"/>
        <w:rPr>
          <w:rFonts w:asciiTheme="majorHAnsi" w:hAnsiTheme="majorHAnsi"/>
          <w:b/>
          <w:color w:val="2A5010"/>
        </w:rPr>
      </w:pPr>
    </w:p>
    <w:p w14:paraId="00000035" w14:textId="77777777" w:rsidR="00284308" w:rsidRPr="00B15279" w:rsidRDefault="00284308">
      <w:pPr>
        <w:pBdr>
          <w:top w:val="nil"/>
          <w:left w:val="nil"/>
          <w:bottom w:val="nil"/>
          <w:right w:val="nil"/>
          <w:between w:val="nil"/>
        </w:pBdr>
        <w:spacing w:line="480" w:lineRule="auto"/>
        <w:rPr>
          <w:rFonts w:asciiTheme="majorHAnsi" w:hAnsiTheme="majorHAnsi"/>
          <w:color w:val="0E101A"/>
        </w:rPr>
      </w:pPr>
    </w:p>
    <w:p w14:paraId="00000036"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This report addressed ways in which the Sacramento region could be more pedestrian friendly</w:t>
      </w:r>
      <w:r w:rsidRPr="00B15279">
        <w:rPr>
          <w:rFonts w:asciiTheme="majorHAnsi" w:eastAsia="Century Schoolbook" w:hAnsiTheme="majorHAnsi" w:cs="Century Schoolbook"/>
          <w:color w:val="0E101A"/>
        </w:rPr>
        <w:t xml:space="preserve"> through a case study of a Sacramento neighborhood along Franklin Blvd. that could benefit from increased walkability. In addition, this report gives recommendations for the Sacramento Area Council of Governments (SACOG). Neighborhood walkability is a high</w:t>
      </w:r>
      <w:r w:rsidRPr="00B15279">
        <w:rPr>
          <w:rFonts w:asciiTheme="majorHAnsi" w:eastAsia="Century Schoolbook" w:hAnsiTheme="majorHAnsi" w:cs="Century Schoolbook"/>
          <w:color w:val="0E101A"/>
        </w:rPr>
        <w:t>ly desirable trait that offers benefits to the individuals living in such an area. These benefits include the opportunity for individuals to have social interactions and maintain a healthy life, which are components for thriving and sustainable cities. The</w:t>
      </w:r>
      <w:r w:rsidRPr="00B15279">
        <w:rPr>
          <w:rFonts w:asciiTheme="majorHAnsi" w:eastAsia="Century Schoolbook" w:hAnsiTheme="majorHAnsi" w:cs="Century Schoolbook"/>
          <w:color w:val="0E101A"/>
        </w:rPr>
        <w:t xml:space="preserve"> society, environment, and the state of California also benefit from neighborhoods where individuals can rely less on vehicles to get to work or access amenities, like groceries and entertainment. Much of Sacramento does not qualify as truly walkable as th</w:t>
      </w:r>
      <w:r w:rsidRPr="00B15279">
        <w:rPr>
          <w:rFonts w:asciiTheme="majorHAnsi" w:eastAsia="Century Schoolbook" w:hAnsiTheme="majorHAnsi" w:cs="Century Schoolbook"/>
          <w:color w:val="0E101A"/>
        </w:rPr>
        <w:t>e city scores near the bottom one-third of 30 major metro areas in the U.S. (</w:t>
      </w:r>
      <w:proofErr w:type="spellStart"/>
      <w:r w:rsidRPr="00B15279">
        <w:rPr>
          <w:rFonts w:asciiTheme="majorHAnsi" w:eastAsia="Century Schoolbook" w:hAnsiTheme="majorHAnsi" w:cs="Century Schoolbook"/>
          <w:color w:val="0E101A"/>
        </w:rPr>
        <w:t>Loh</w:t>
      </w:r>
      <w:proofErr w:type="spellEnd"/>
      <w:r w:rsidRPr="00B15279">
        <w:rPr>
          <w:rFonts w:asciiTheme="majorHAnsi" w:eastAsia="Century Schoolbook" w:hAnsiTheme="majorHAnsi" w:cs="Century Schoolbook"/>
          <w:color w:val="0E101A"/>
        </w:rPr>
        <w:t xml:space="preserve">, </w:t>
      </w:r>
      <w:proofErr w:type="spellStart"/>
      <w:proofErr w:type="gramStart"/>
      <w:r w:rsidRPr="00B15279">
        <w:rPr>
          <w:rFonts w:asciiTheme="majorHAnsi" w:eastAsia="Century Schoolbook" w:hAnsiTheme="majorHAnsi" w:cs="Century Schoolbook"/>
          <w:color w:val="0E101A"/>
        </w:rPr>
        <w:t>Leinberger</w:t>
      </w:r>
      <w:proofErr w:type="spellEnd"/>
      <w:r w:rsidRPr="00B15279">
        <w:rPr>
          <w:rFonts w:asciiTheme="majorHAnsi" w:eastAsia="Century Schoolbook" w:hAnsiTheme="majorHAnsi" w:cs="Century Schoolbook"/>
          <w:color w:val="0E101A"/>
        </w:rPr>
        <w:t xml:space="preserve"> ,</w:t>
      </w:r>
      <w:proofErr w:type="gramEnd"/>
      <w:r w:rsidRPr="00B15279">
        <w:rPr>
          <w:rFonts w:asciiTheme="majorHAnsi" w:eastAsia="Century Schoolbook" w:hAnsiTheme="majorHAnsi" w:cs="Century Schoolbook"/>
          <w:color w:val="0E101A"/>
        </w:rPr>
        <w:t xml:space="preserve"> &amp; </w:t>
      </w:r>
      <w:proofErr w:type="spellStart"/>
      <w:r w:rsidRPr="00B15279">
        <w:rPr>
          <w:rFonts w:asciiTheme="majorHAnsi" w:eastAsia="Century Schoolbook" w:hAnsiTheme="majorHAnsi" w:cs="Century Schoolbook"/>
          <w:color w:val="0E101A"/>
        </w:rPr>
        <w:t>Chafetz</w:t>
      </w:r>
      <w:proofErr w:type="spellEnd"/>
      <w:r w:rsidRPr="00B15279">
        <w:rPr>
          <w:rFonts w:asciiTheme="majorHAnsi" w:eastAsia="Century Schoolbook" w:hAnsiTheme="majorHAnsi" w:cs="Century Schoolbook"/>
          <w:color w:val="0E101A"/>
        </w:rPr>
        <w:t xml:space="preserve">, 2019). Disadvantaged neighborhoods and Black Indigenous and People of Color (BIPOC) communities are often located in areas where city planning is not </w:t>
      </w:r>
      <w:r w:rsidRPr="00B15279">
        <w:rPr>
          <w:rFonts w:asciiTheme="majorHAnsi" w:eastAsia="Century Schoolbook" w:hAnsiTheme="majorHAnsi" w:cs="Century Schoolbook"/>
          <w:color w:val="0E101A"/>
        </w:rPr>
        <w:t>prioritized. This report provides an equitable solution to increase walkability as SACOG and the state of California address the demands for more housing, tackle chronic diseases, and reduce Greenhouse Gas Emissions (GHG).</w:t>
      </w:r>
    </w:p>
    <w:p w14:paraId="00000037"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 xml:space="preserve">The primary focus of this report </w:t>
      </w:r>
      <w:r w:rsidRPr="00B15279">
        <w:rPr>
          <w:rFonts w:asciiTheme="majorHAnsi" w:eastAsia="Century Schoolbook" w:hAnsiTheme="majorHAnsi" w:cs="Century Schoolbook"/>
          <w:color w:val="0E101A"/>
        </w:rPr>
        <w:t xml:space="preserve">is the evaluation of separate and specific policy alternatives to increase walkability on Franklin Blvd, the least walkable neighborhood in the City of Sacramento.  Recognizing this, the </w:t>
      </w:r>
      <w:proofErr w:type="gramStart"/>
      <w:r w:rsidRPr="00B15279">
        <w:rPr>
          <w:rFonts w:asciiTheme="majorHAnsi" w:eastAsia="Century Schoolbook" w:hAnsiTheme="majorHAnsi" w:cs="Century Schoolbook"/>
          <w:color w:val="0E101A"/>
        </w:rPr>
        <w:t>City</w:t>
      </w:r>
      <w:proofErr w:type="gramEnd"/>
      <w:r w:rsidRPr="00B15279">
        <w:rPr>
          <w:rFonts w:asciiTheme="majorHAnsi" w:eastAsia="Century Schoolbook" w:hAnsiTheme="majorHAnsi" w:cs="Century Schoolbook"/>
          <w:color w:val="0E101A"/>
        </w:rPr>
        <w:t xml:space="preserve"> has obtained funding for the development of a Complete Street Pr</w:t>
      </w:r>
      <w:r w:rsidRPr="00B15279">
        <w:rPr>
          <w:rFonts w:asciiTheme="majorHAnsi" w:eastAsia="Century Schoolbook" w:hAnsiTheme="majorHAnsi" w:cs="Century Schoolbook"/>
          <w:color w:val="0E101A"/>
        </w:rPr>
        <w:t xml:space="preserve">oject on Franklin Blvd, which could incorporate methods to make the area walk-friendly. The case study will serve </w:t>
      </w:r>
      <w:r w:rsidRPr="00B15279">
        <w:rPr>
          <w:rFonts w:asciiTheme="majorHAnsi" w:eastAsia="Century Schoolbook" w:hAnsiTheme="majorHAnsi" w:cs="Century Schoolbook"/>
          <w:color w:val="0E101A"/>
        </w:rPr>
        <w:lastRenderedPageBreak/>
        <w:t xml:space="preserve">as an example for other areas in the region that seek to improve walkability for the people and businesses located in the neighborhood. Thus, </w:t>
      </w:r>
      <w:r w:rsidRPr="00B15279">
        <w:rPr>
          <w:rFonts w:asciiTheme="majorHAnsi" w:eastAsia="Century Schoolbook" w:hAnsiTheme="majorHAnsi" w:cs="Century Schoolbook"/>
          <w:color w:val="0E101A"/>
        </w:rPr>
        <w:t>it can serve as important background material for SACOG when considering approaches to address inequities. SACOG is responsible for transportation planning and funding for the region. As such, SACOG would be interested in increasing pedestrian-friendly str</w:t>
      </w:r>
      <w:r w:rsidRPr="00B15279">
        <w:rPr>
          <w:rFonts w:asciiTheme="majorHAnsi" w:eastAsia="Century Schoolbook" w:hAnsiTheme="majorHAnsi" w:cs="Century Schoolbook"/>
          <w:color w:val="0E101A"/>
        </w:rPr>
        <w:t>eets as less reliance on vehicles would reduce GHG emissions.</w:t>
      </w:r>
    </w:p>
    <w:p w14:paraId="00000038"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 xml:space="preserve">The structure of this report roughly followed a five-step rational policy analysis framework as described by Meltzer and Schwartz (2019, pp. 20-23). This report begins with Step One, describing </w:t>
      </w:r>
      <w:r w:rsidRPr="00B15279">
        <w:rPr>
          <w:rFonts w:asciiTheme="majorHAnsi" w:eastAsia="Century Schoolbook" w:hAnsiTheme="majorHAnsi" w:cs="Century Schoolbook"/>
          <w:color w:val="0E101A"/>
        </w:rPr>
        <w:t>why increasing walkable neighborhoods is a relevant topic for SACOG that deserves government intervention to maintain walkability as a public good. For Step Two, I included a literature review on property values and walkability and information on promising</w:t>
      </w:r>
      <w:r w:rsidRPr="00B15279">
        <w:rPr>
          <w:rFonts w:asciiTheme="majorHAnsi" w:eastAsia="Century Schoolbook" w:hAnsiTheme="majorHAnsi" w:cs="Century Schoolbook"/>
          <w:color w:val="0E101A"/>
        </w:rPr>
        <w:t xml:space="preserve"> practices from the City of Seattle. These are used to offer potential policy options to improve walkability. In Step Three, I decided upon the criteria to evaluate the policy alternatives. In the analysis portion of this report, Step Four, I assessed the </w:t>
      </w:r>
      <w:r w:rsidRPr="00B15279">
        <w:rPr>
          <w:rFonts w:asciiTheme="majorHAnsi" w:eastAsia="Century Schoolbook" w:hAnsiTheme="majorHAnsi" w:cs="Century Schoolbook"/>
          <w:color w:val="0E101A"/>
        </w:rPr>
        <w:t>outcomes of those policy alternatives in consideration of the criteria. Finally, in Step Five, I concluded with the recommended alternative for the case study, Franklin Blvd. along with actions that SACOG could consider doing differently to encourage citie</w:t>
      </w:r>
      <w:r w:rsidRPr="00B15279">
        <w:rPr>
          <w:rFonts w:asciiTheme="majorHAnsi" w:eastAsia="Century Schoolbook" w:hAnsiTheme="majorHAnsi" w:cs="Century Schoolbook"/>
          <w:color w:val="0E101A"/>
        </w:rPr>
        <w:t>s and counties to pursue projects that would increase walkability.</w:t>
      </w:r>
    </w:p>
    <w:p w14:paraId="00000039"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i/>
          <w:color w:val="000000" w:themeColor="text1"/>
        </w:rPr>
      </w:pPr>
      <w:r w:rsidRPr="00B15279">
        <w:rPr>
          <w:rFonts w:asciiTheme="majorHAnsi" w:eastAsia="Century Schoolbook" w:hAnsiTheme="majorHAnsi" w:cs="Century Schoolbook"/>
          <w:b/>
          <w:color w:val="000000" w:themeColor="text1"/>
        </w:rPr>
        <w:t>Step One: Defining the Problem</w:t>
      </w:r>
    </w:p>
    <w:p w14:paraId="0000003A"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 xml:space="preserve">In a 2019 report on the United States top 30 largest metropolitan regions called </w:t>
      </w:r>
      <w:r w:rsidRPr="00B15279">
        <w:rPr>
          <w:rFonts w:asciiTheme="majorHAnsi" w:eastAsia="Century Schoolbook" w:hAnsiTheme="majorHAnsi" w:cs="Century Schoolbook"/>
          <w:i/>
          <w:color w:val="0E101A"/>
        </w:rPr>
        <w:t>Foot Traffic Ahead</w:t>
      </w:r>
      <w:r w:rsidRPr="00B15279">
        <w:rPr>
          <w:rFonts w:asciiTheme="majorHAnsi" w:eastAsia="Century Schoolbook" w:hAnsiTheme="majorHAnsi" w:cs="Century Schoolbook"/>
          <w:color w:val="0E101A"/>
        </w:rPr>
        <w:t>, Sacramento was ranked in the lower-middle third tier for walkable urbanism (</w:t>
      </w:r>
      <w:proofErr w:type="spellStart"/>
      <w:r w:rsidRPr="00B15279">
        <w:rPr>
          <w:rFonts w:asciiTheme="majorHAnsi" w:eastAsia="Century Schoolbook" w:hAnsiTheme="majorHAnsi" w:cs="Century Schoolbook"/>
          <w:color w:val="0E101A"/>
        </w:rPr>
        <w:t>Loh</w:t>
      </w:r>
      <w:proofErr w:type="spellEnd"/>
      <w:r w:rsidRPr="00B15279">
        <w:rPr>
          <w:rFonts w:asciiTheme="majorHAnsi" w:eastAsia="Century Schoolbook" w:hAnsiTheme="majorHAnsi" w:cs="Century Schoolbook"/>
          <w:color w:val="0E101A"/>
        </w:rPr>
        <w:t xml:space="preserve">, </w:t>
      </w:r>
      <w:proofErr w:type="spellStart"/>
      <w:r w:rsidRPr="00B15279">
        <w:rPr>
          <w:rFonts w:asciiTheme="majorHAnsi" w:eastAsia="Century Schoolbook" w:hAnsiTheme="majorHAnsi" w:cs="Century Schoolbook"/>
          <w:color w:val="0E101A"/>
        </w:rPr>
        <w:t>Leinberger</w:t>
      </w:r>
      <w:proofErr w:type="spellEnd"/>
      <w:r w:rsidRPr="00B15279">
        <w:rPr>
          <w:rFonts w:asciiTheme="majorHAnsi" w:eastAsia="Century Schoolbook" w:hAnsiTheme="majorHAnsi" w:cs="Century Schoolbook"/>
          <w:color w:val="0E101A"/>
        </w:rPr>
        <w:t xml:space="preserve">, &amp; </w:t>
      </w:r>
      <w:proofErr w:type="spellStart"/>
      <w:r w:rsidRPr="00B15279">
        <w:rPr>
          <w:rFonts w:asciiTheme="majorHAnsi" w:eastAsia="Century Schoolbook" w:hAnsiTheme="majorHAnsi" w:cs="Century Schoolbook"/>
          <w:color w:val="0E101A"/>
        </w:rPr>
        <w:t>Chafetz</w:t>
      </w:r>
      <w:proofErr w:type="spellEnd"/>
      <w:r w:rsidRPr="00B15279">
        <w:rPr>
          <w:rFonts w:asciiTheme="majorHAnsi" w:eastAsia="Century Schoolbook" w:hAnsiTheme="majorHAnsi" w:cs="Century Schoolbook"/>
          <w:color w:val="0E101A"/>
        </w:rPr>
        <w:t xml:space="preserve">, 2019). Out of 30 cities, Sacramento </w:t>
      </w:r>
      <w:r w:rsidRPr="00B15279">
        <w:rPr>
          <w:rFonts w:asciiTheme="majorHAnsi" w:eastAsia="Century Schoolbook" w:hAnsiTheme="majorHAnsi" w:cs="Century Schoolbook"/>
          <w:color w:val="0E101A"/>
        </w:rPr>
        <w:lastRenderedPageBreak/>
        <w:t>ranked number 1</w:t>
      </w:r>
      <w:r w:rsidRPr="00B15279">
        <w:rPr>
          <w:rFonts w:asciiTheme="majorHAnsi" w:eastAsia="Century Schoolbook" w:hAnsiTheme="majorHAnsi" w:cs="Century Schoolbook"/>
          <w:color w:val="0E101A"/>
        </w:rPr>
        <w:t>9. According to the report, for a city population of 2.26 million individuals, Sacramento has 6 walkups, which means there is 1 walkup for every 378,001 people. Walkups consist of locations with offices and retail stores, a walk score value of 70 or greate</w:t>
      </w:r>
      <w:r w:rsidRPr="00B15279">
        <w:rPr>
          <w:rFonts w:asciiTheme="majorHAnsi" w:eastAsia="Century Schoolbook" w:hAnsiTheme="majorHAnsi" w:cs="Century Schoolbook"/>
          <w:color w:val="0E101A"/>
        </w:rPr>
        <w:t>r, and visual screening for removal of auto dependent land use locations. In total, only 12 percent of Sacramento’s offices and retail stores are located in walkups. If walkability is limited to specific locations in the Sacramento region, then it is conce</w:t>
      </w:r>
      <w:r w:rsidRPr="00B15279">
        <w:rPr>
          <w:rFonts w:asciiTheme="majorHAnsi" w:eastAsia="Century Schoolbook" w:hAnsiTheme="majorHAnsi" w:cs="Century Schoolbook"/>
          <w:color w:val="0E101A"/>
        </w:rPr>
        <w:t>rning that the majority of the population would not have access to the benefits. Yet, increasing walkability in streets located in disadvantaged neighborhoods, should also not displace residents. As has been shown in other neighborhoods such as Oak Park, g</w:t>
      </w:r>
      <w:r w:rsidRPr="00B15279">
        <w:rPr>
          <w:rFonts w:asciiTheme="majorHAnsi" w:eastAsia="Century Schoolbook" w:hAnsiTheme="majorHAnsi" w:cs="Century Schoolbook"/>
          <w:color w:val="0E101A"/>
        </w:rPr>
        <w:t>entrification of areas can increase the cost of living to make homes unaffordable to low-income individuals and limit affordability for local businesses. Oak Park, a neighborhood rich in African American history, has seen housing values triple (</w:t>
      </w:r>
      <w:proofErr w:type="spellStart"/>
      <w:r w:rsidRPr="00B15279">
        <w:rPr>
          <w:rFonts w:asciiTheme="majorHAnsi" w:eastAsia="Century Schoolbook" w:hAnsiTheme="majorHAnsi" w:cs="Century Schoolbook"/>
          <w:color w:val="0E101A"/>
        </w:rPr>
        <w:t>Egel</w:t>
      </w:r>
      <w:proofErr w:type="spellEnd"/>
      <w:r w:rsidRPr="00B15279">
        <w:rPr>
          <w:rFonts w:asciiTheme="majorHAnsi" w:eastAsia="Century Schoolbook" w:hAnsiTheme="majorHAnsi" w:cs="Century Schoolbook"/>
          <w:color w:val="0E101A"/>
        </w:rPr>
        <w:t>, 2020)</w:t>
      </w:r>
      <w:r w:rsidRPr="00B15279">
        <w:rPr>
          <w:rFonts w:asciiTheme="majorHAnsi" w:eastAsia="Century Schoolbook" w:hAnsiTheme="majorHAnsi" w:cs="Century Schoolbook"/>
          <w:color w:val="0E101A"/>
        </w:rPr>
        <w:t>. Though this neighborhood was once considered a food desert, the development of new restaurants has encouraged individuals with a higher income to live in Oak Park (</w:t>
      </w:r>
      <w:proofErr w:type="spellStart"/>
      <w:r w:rsidRPr="00B15279">
        <w:rPr>
          <w:rFonts w:asciiTheme="majorHAnsi" w:eastAsia="Century Schoolbook" w:hAnsiTheme="majorHAnsi" w:cs="Century Schoolbook"/>
          <w:color w:val="0E101A"/>
        </w:rPr>
        <w:t>Egel</w:t>
      </w:r>
      <w:proofErr w:type="spellEnd"/>
      <w:r w:rsidRPr="00B15279">
        <w:rPr>
          <w:rFonts w:asciiTheme="majorHAnsi" w:eastAsia="Century Schoolbook" w:hAnsiTheme="majorHAnsi" w:cs="Century Schoolbook"/>
          <w:color w:val="0E101A"/>
        </w:rPr>
        <w:t>, 2020). In a report by the City of Sacramento, the average apartment rental rate in t</w:t>
      </w:r>
      <w:r w:rsidRPr="00B15279">
        <w:rPr>
          <w:rFonts w:asciiTheme="majorHAnsi" w:eastAsia="Century Schoolbook" w:hAnsiTheme="majorHAnsi" w:cs="Century Schoolbook"/>
          <w:color w:val="0E101A"/>
        </w:rPr>
        <w:t>he Central City Specific Plan (CCSP) area has increased by 32 percent since 2008 (Anti-Displacement/Gentrification Study, 2018). In addition, 53 percent of the CCSP households were low-income. The study recognized that in order to combat gentrification and</w:t>
      </w:r>
      <w:r w:rsidRPr="00B15279">
        <w:rPr>
          <w:rFonts w:asciiTheme="majorHAnsi" w:eastAsia="Century Schoolbook" w:hAnsiTheme="majorHAnsi" w:cs="Century Schoolbook"/>
          <w:color w:val="0E101A"/>
        </w:rPr>
        <w:t xml:space="preserve"> displacement, the city of Sacramento will need to continue seeking workforce development, anti-displacement policies and programs (Anti-Displacement/Gentrification Study, 2018). Although the report focused on residents living in the central city, the Sacr</w:t>
      </w:r>
      <w:r w:rsidRPr="00B15279">
        <w:rPr>
          <w:rFonts w:asciiTheme="majorHAnsi" w:eastAsia="Century Schoolbook" w:hAnsiTheme="majorHAnsi" w:cs="Century Schoolbook"/>
          <w:color w:val="0E101A"/>
        </w:rPr>
        <w:t xml:space="preserve">amento region as a whole would benefit from similar ideas and policies when increasing walkability projects for </w:t>
      </w:r>
      <w:r w:rsidRPr="00B15279">
        <w:rPr>
          <w:rFonts w:asciiTheme="majorHAnsi" w:eastAsia="Century Schoolbook" w:hAnsiTheme="majorHAnsi" w:cs="Century Schoolbook"/>
          <w:color w:val="0E101A"/>
        </w:rPr>
        <w:lastRenderedPageBreak/>
        <w:t xml:space="preserve">Black Indigenous and People of Color (BIPOC) communities. Walkable streets will be defined in this paper using Walk Score, an app that measures </w:t>
      </w:r>
      <w:r w:rsidRPr="00B15279">
        <w:rPr>
          <w:rFonts w:asciiTheme="majorHAnsi" w:eastAsia="Century Schoolbook" w:hAnsiTheme="majorHAnsi" w:cs="Century Schoolbook"/>
          <w:color w:val="0E101A"/>
        </w:rPr>
        <w:t>an address’ distance to nearby amenities by providing a numerical value between 0 to 100. The higher the walk score value is to 100 denotes the address as less car reliant and more accessible to amenities. To measure pedestrian-friendliness, Walk Score eva</w:t>
      </w:r>
      <w:r w:rsidRPr="00B15279">
        <w:rPr>
          <w:rFonts w:asciiTheme="majorHAnsi" w:eastAsia="Century Schoolbook" w:hAnsiTheme="majorHAnsi" w:cs="Century Schoolbook"/>
          <w:color w:val="0E101A"/>
        </w:rPr>
        <w:t xml:space="preserve">luates population density and road metrics using data sources from Google, Factual, Great Schools, Open Street Map, the U.S. Census, </w:t>
      </w:r>
      <w:proofErr w:type="spellStart"/>
      <w:r w:rsidRPr="00B15279">
        <w:rPr>
          <w:rFonts w:asciiTheme="majorHAnsi" w:eastAsia="Century Schoolbook" w:hAnsiTheme="majorHAnsi" w:cs="Century Schoolbook"/>
          <w:color w:val="0E101A"/>
        </w:rPr>
        <w:t>Localeze</w:t>
      </w:r>
      <w:proofErr w:type="spellEnd"/>
      <w:r w:rsidRPr="00B15279">
        <w:rPr>
          <w:rFonts w:asciiTheme="majorHAnsi" w:eastAsia="Century Schoolbook" w:hAnsiTheme="majorHAnsi" w:cs="Century Schoolbook"/>
          <w:color w:val="0E101A"/>
        </w:rPr>
        <w:t xml:space="preserve"> and entries by walk score users. </w:t>
      </w:r>
    </w:p>
    <w:p w14:paraId="0000003B" w14:textId="44E22346" w:rsidR="00284308" w:rsidRPr="00B15279" w:rsidRDefault="008A4582">
      <w:pPr>
        <w:spacing w:line="480" w:lineRule="auto"/>
        <w:jc w:val="center"/>
        <w:rPr>
          <w:rFonts w:asciiTheme="majorHAnsi" w:eastAsia="Century Schoolbook" w:hAnsiTheme="majorHAnsi" w:cs="Century Schoolbook"/>
          <w:color w:val="000000" w:themeColor="text1"/>
        </w:rPr>
      </w:pPr>
      <w:r w:rsidRPr="00B15279">
        <w:rPr>
          <w:rFonts w:asciiTheme="majorHAnsi" w:hAnsiTheme="majorHAnsi"/>
          <w:noProof/>
          <w:color w:val="000000" w:themeColor="text1"/>
        </w:rPr>
        <w:drawing>
          <wp:anchor distT="114300" distB="114300" distL="114300" distR="114300" simplePos="0" relativeHeight="251659264" behindDoc="0" locked="0" layoutInCell="1" hidden="0" allowOverlap="1" wp14:editId="1A86E8B1">
            <wp:simplePos x="0" y="0"/>
            <wp:positionH relativeFrom="column">
              <wp:posOffset>606490</wp:posOffset>
            </wp:positionH>
            <wp:positionV relativeFrom="paragraph">
              <wp:posOffset>368754</wp:posOffset>
            </wp:positionV>
            <wp:extent cx="4733925" cy="2520790"/>
            <wp:effectExtent l="0" t="0" r="0" b="0"/>
            <wp:wrapSquare wrapText="bothSides" distT="114300" distB="114300" distL="114300" distR="114300"/>
            <wp:docPr id="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733925" cy="2520790"/>
                    </a:xfrm>
                    <a:prstGeom prst="rect">
                      <a:avLst/>
                    </a:prstGeom>
                    <a:ln/>
                  </pic:spPr>
                </pic:pic>
              </a:graphicData>
            </a:graphic>
          </wp:anchor>
        </w:drawing>
      </w:r>
      <w:r w:rsidR="00EE5CAD" w:rsidRPr="00B15279">
        <w:rPr>
          <w:rFonts w:asciiTheme="majorHAnsi" w:eastAsia="Century Schoolbook" w:hAnsiTheme="majorHAnsi" w:cs="Century Schoolbook"/>
          <w:b/>
          <w:color w:val="000000" w:themeColor="text1"/>
        </w:rPr>
        <w:t>Table 1: How Walk Score is Measured</w:t>
      </w:r>
      <w:r w:rsidR="00EE5CAD" w:rsidRPr="00B15279">
        <w:rPr>
          <w:rFonts w:asciiTheme="majorHAnsi" w:eastAsia="Century Schoolbook" w:hAnsiTheme="majorHAnsi" w:cs="Century Schoolbook"/>
          <w:color w:val="000000" w:themeColor="text1"/>
        </w:rPr>
        <w:t xml:space="preserve"> </w:t>
      </w:r>
    </w:p>
    <w:p w14:paraId="0000003C" w14:textId="17DE63F4"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color w:val="0E101A"/>
        </w:rPr>
      </w:pPr>
    </w:p>
    <w:p w14:paraId="0000003D"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color w:val="0E101A"/>
        </w:rPr>
      </w:pPr>
    </w:p>
    <w:p w14:paraId="0000003E"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color w:val="0E101A"/>
        </w:rPr>
      </w:pPr>
    </w:p>
    <w:p w14:paraId="0000003F"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color w:val="0E101A"/>
        </w:rPr>
      </w:pPr>
    </w:p>
    <w:p w14:paraId="00000040"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color w:val="0E101A"/>
        </w:rPr>
      </w:pPr>
    </w:p>
    <w:p w14:paraId="00000041" w14:textId="326FFB2A"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color w:val="0E101A"/>
        </w:rPr>
      </w:pPr>
    </w:p>
    <w:p w14:paraId="135E873F" w14:textId="2C7730F0" w:rsidR="008A4582" w:rsidRPr="00B15279" w:rsidRDefault="008A4582">
      <w:pPr>
        <w:pBdr>
          <w:top w:val="nil"/>
          <w:left w:val="nil"/>
          <w:bottom w:val="nil"/>
          <w:right w:val="nil"/>
          <w:between w:val="nil"/>
        </w:pBdr>
        <w:spacing w:line="480" w:lineRule="auto"/>
        <w:rPr>
          <w:rFonts w:asciiTheme="majorHAnsi" w:eastAsia="Century Schoolbook" w:hAnsiTheme="majorHAnsi" w:cs="Century Schoolbook"/>
          <w:color w:val="0E101A"/>
        </w:rPr>
      </w:pPr>
    </w:p>
    <w:p w14:paraId="739D31BD" w14:textId="3F07CF30" w:rsidR="008A4582" w:rsidRPr="00B15279" w:rsidRDefault="008A4582" w:rsidP="008A4582">
      <w:pPr>
        <w:pBdr>
          <w:top w:val="nil"/>
          <w:left w:val="nil"/>
          <w:bottom w:val="nil"/>
          <w:right w:val="nil"/>
          <w:between w:val="nil"/>
        </w:pBdr>
        <w:spacing w:line="480" w:lineRule="auto"/>
        <w:jc w:val="center"/>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Source: (Walk Score, 2021)</w:t>
      </w:r>
    </w:p>
    <w:p w14:paraId="40152BD0" w14:textId="77777777" w:rsidR="00BF460D" w:rsidRPr="00B15279" w:rsidRDefault="00BF460D" w:rsidP="00007599">
      <w:pPr>
        <w:spacing w:line="480" w:lineRule="auto"/>
        <w:rPr>
          <w:rFonts w:asciiTheme="majorHAnsi" w:eastAsia="Century Schoolbook" w:hAnsiTheme="majorHAnsi" w:cs="Century Schoolbook"/>
          <w:b/>
          <w:color w:val="2A5010"/>
        </w:rPr>
      </w:pPr>
    </w:p>
    <w:p w14:paraId="0AB14F7D" w14:textId="7BFA209B" w:rsidR="00BF460D" w:rsidRDefault="00BF460D" w:rsidP="008A4582">
      <w:pPr>
        <w:spacing w:line="480" w:lineRule="auto"/>
        <w:jc w:val="center"/>
        <w:rPr>
          <w:rFonts w:asciiTheme="majorHAnsi" w:eastAsia="Century Schoolbook" w:hAnsiTheme="majorHAnsi" w:cs="Century Schoolbook"/>
          <w:b/>
          <w:color w:val="2A5010"/>
        </w:rPr>
      </w:pPr>
    </w:p>
    <w:p w14:paraId="45C1E719" w14:textId="3ACB8F9C" w:rsidR="00007599" w:rsidRDefault="00007599" w:rsidP="008A4582">
      <w:pPr>
        <w:spacing w:line="480" w:lineRule="auto"/>
        <w:jc w:val="center"/>
        <w:rPr>
          <w:rFonts w:asciiTheme="majorHAnsi" w:eastAsia="Century Schoolbook" w:hAnsiTheme="majorHAnsi" w:cs="Century Schoolbook"/>
          <w:b/>
          <w:color w:val="2A5010"/>
        </w:rPr>
      </w:pPr>
    </w:p>
    <w:p w14:paraId="2E51323C" w14:textId="7C00E41C" w:rsidR="00007599" w:rsidRDefault="00007599" w:rsidP="008A4582">
      <w:pPr>
        <w:spacing w:line="480" w:lineRule="auto"/>
        <w:jc w:val="center"/>
        <w:rPr>
          <w:rFonts w:asciiTheme="majorHAnsi" w:eastAsia="Century Schoolbook" w:hAnsiTheme="majorHAnsi" w:cs="Century Schoolbook"/>
          <w:b/>
          <w:color w:val="2A5010"/>
        </w:rPr>
      </w:pPr>
    </w:p>
    <w:p w14:paraId="493C0ED7" w14:textId="201233EF" w:rsidR="00007599" w:rsidRDefault="00007599" w:rsidP="008A4582">
      <w:pPr>
        <w:spacing w:line="480" w:lineRule="auto"/>
        <w:jc w:val="center"/>
        <w:rPr>
          <w:rFonts w:asciiTheme="majorHAnsi" w:eastAsia="Century Schoolbook" w:hAnsiTheme="majorHAnsi" w:cs="Century Schoolbook"/>
          <w:b/>
          <w:color w:val="2A5010"/>
        </w:rPr>
      </w:pPr>
    </w:p>
    <w:p w14:paraId="755F2BE4" w14:textId="5F23C263" w:rsidR="00007599" w:rsidRDefault="00007599" w:rsidP="008A4582">
      <w:pPr>
        <w:spacing w:line="480" w:lineRule="auto"/>
        <w:jc w:val="center"/>
        <w:rPr>
          <w:rFonts w:asciiTheme="majorHAnsi" w:eastAsia="Century Schoolbook" w:hAnsiTheme="majorHAnsi" w:cs="Century Schoolbook"/>
          <w:b/>
          <w:color w:val="2A5010"/>
        </w:rPr>
      </w:pPr>
    </w:p>
    <w:p w14:paraId="79E533D7" w14:textId="77777777" w:rsidR="00007599" w:rsidRPr="00B15279" w:rsidRDefault="00007599" w:rsidP="008A4582">
      <w:pPr>
        <w:spacing w:line="480" w:lineRule="auto"/>
        <w:jc w:val="center"/>
        <w:rPr>
          <w:rFonts w:asciiTheme="majorHAnsi" w:eastAsia="Century Schoolbook" w:hAnsiTheme="majorHAnsi" w:cs="Century Schoolbook"/>
          <w:b/>
          <w:color w:val="2A5010"/>
        </w:rPr>
      </w:pPr>
    </w:p>
    <w:p w14:paraId="00000052" w14:textId="073EAE4C" w:rsidR="00284308" w:rsidRPr="00B15279" w:rsidRDefault="00EE5CAD" w:rsidP="008A4582">
      <w:pPr>
        <w:spacing w:line="480" w:lineRule="auto"/>
        <w:jc w:val="center"/>
        <w:rPr>
          <w:rFonts w:asciiTheme="majorHAnsi" w:eastAsia="Century Schoolbook" w:hAnsiTheme="majorHAnsi" w:cs="Century Schoolbook"/>
          <w:b/>
          <w:color w:val="000000" w:themeColor="text1"/>
        </w:rPr>
      </w:pPr>
      <w:r w:rsidRPr="00B15279">
        <w:rPr>
          <w:rFonts w:asciiTheme="majorHAnsi" w:eastAsia="Century Schoolbook" w:hAnsiTheme="majorHAnsi" w:cs="Century Schoolbook"/>
          <w:b/>
          <w:color w:val="000000" w:themeColor="text1"/>
        </w:rPr>
        <w:lastRenderedPageBreak/>
        <w:t>Table 2: Walk Score for Each City in Sacramento County</w:t>
      </w:r>
    </w:p>
    <w:p w14:paraId="6B9D9FE3" w14:textId="77777777" w:rsidR="008A4582" w:rsidRPr="00B15279" w:rsidRDefault="00EE5CAD">
      <w:pPr>
        <w:spacing w:line="480" w:lineRule="auto"/>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 xml:space="preserve"> </w:t>
      </w:r>
    </w:p>
    <w:p w14:paraId="6F26946C" w14:textId="77777777" w:rsidR="008A4582" w:rsidRPr="00B15279" w:rsidRDefault="008A4582">
      <w:pPr>
        <w:spacing w:line="480" w:lineRule="auto"/>
        <w:rPr>
          <w:rFonts w:asciiTheme="majorHAnsi" w:eastAsia="Century Schoolbook" w:hAnsiTheme="majorHAnsi" w:cs="Century Schoolbook"/>
          <w:color w:val="0E101A"/>
        </w:rPr>
      </w:pPr>
    </w:p>
    <w:p w14:paraId="730126E2" w14:textId="77777777" w:rsidR="008A4582" w:rsidRPr="00B15279" w:rsidRDefault="008A4582">
      <w:pPr>
        <w:spacing w:line="480" w:lineRule="auto"/>
        <w:rPr>
          <w:rFonts w:asciiTheme="majorHAnsi" w:eastAsia="Century Schoolbook" w:hAnsiTheme="majorHAnsi" w:cs="Century Schoolbook"/>
          <w:color w:val="0E101A"/>
        </w:rPr>
      </w:pPr>
    </w:p>
    <w:p w14:paraId="6B8FC61E" w14:textId="77777777" w:rsidR="008A4582" w:rsidRPr="00B15279" w:rsidRDefault="008A4582">
      <w:pPr>
        <w:spacing w:line="480" w:lineRule="auto"/>
        <w:rPr>
          <w:rFonts w:asciiTheme="majorHAnsi" w:eastAsia="Century Schoolbook" w:hAnsiTheme="majorHAnsi" w:cs="Century Schoolbook"/>
          <w:color w:val="0E101A"/>
        </w:rPr>
      </w:pPr>
    </w:p>
    <w:p w14:paraId="59B88E66" w14:textId="77777777" w:rsidR="008A4582" w:rsidRPr="00B15279" w:rsidRDefault="008A4582">
      <w:pPr>
        <w:spacing w:line="480" w:lineRule="auto"/>
        <w:rPr>
          <w:rFonts w:asciiTheme="majorHAnsi" w:eastAsia="Century Schoolbook" w:hAnsiTheme="majorHAnsi" w:cs="Century Schoolbook"/>
          <w:color w:val="0E101A"/>
        </w:rPr>
      </w:pPr>
    </w:p>
    <w:p w14:paraId="486181A5" w14:textId="77777777" w:rsidR="008A4582" w:rsidRPr="00B15279" w:rsidRDefault="008A4582">
      <w:pPr>
        <w:spacing w:line="480" w:lineRule="auto"/>
        <w:rPr>
          <w:rFonts w:asciiTheme="majorHAnsi" w:eastAsia="Century Schoolbook" w:hAnsiTheme="majorHAnsi" w:cs="Century Schoolbook"/>
          <w:color w:val="0E101A"/>
        </w:rPr>
      </w:pPr>
    </w:p>
    <w:p w14:paraId="1BAAD79D" w14:textId="77777777" w:rsidR="008A4582" w:rsidRPr="00B15279" w:rsidRDefault="008A4582">
      <w:pPr>
        <w:spacing w:line="480" w:lineRule="auto"/>
        <w:rPr>
          <w:rFonts w:asciiTheme="majorHAnsi" w:eastAsia="Century Schoolbook" w:hAnsiTheme="majorHAnsi" w:cs="Century Schoolbook"/>
          <w:color w:val="0E101A"/>
        </w:rPr>
      </w:pPr>
    </w:p>
    <w:tbl>
      <w:tblPr>
        <w:tblStyle w:val="a0"/>
        <w:tblpPr w:leftFromText="180" w:rightFromText="180" w:vertAnchor="page" w:horzAnchor="margin" w:tblpXSpec="center" w:tblpY="2220"/>
        <w:tblW w:w="66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60"/>
        <w:gridCol w:w="3240"/>
      </w:tblGrid>
      <w:tr w:rsidR="00BF460D" w:rsidRPr="00B15279" w14:paraId="225CA2C3" w14:textId="77777777" w:rsidTr="00BF460D">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360" w:type="dxa"/>
          </w:tcPr>
          <w:p w14:paraId="409C7D39" w14:textId="77777777" w:rsidR="00BF460D" w:rsidRPr="00B15279" w:rsidRDefault="00BF460D" w:rsidP="00BF460D">
            <w:pPr>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City</w:t>
            </w:r>
          </w:p>
        </w:tc>
        <w:tc>
          <w:tcPr>
            <w:tcW w:w="3240" w:type="dxa"/>
          </w:tcPr>
          <w:p w14:paraId="4E7CBC9D" w14:textId="77777777" w:rsidR="00BF460D" w:rsidRPr="00B15279" w:rsidRDefault="00BF460D" w:rsidP="00BF460D">
            <w:pPr>
              <w:cnfStyle w:val="100000000000" w:firstRow="1" w:lastRow="0" w:firstColumn="0" w:lastColumn="0" w:oddVBand="0" w:evenVBand="0" w:oddHBand="0" w:evenHBand="0" w:firstRowFirstColumn="0" w:firstRowLastColumn="0" w:lastRowFirstColumn="0" w:lastRowLastColumn="0"/>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Walk Score</w:t>
            </w:r>
          </w:p>
        </w:tc>
      </w:tr>
      <w:tr w:rsidR="00BF460D" w:rsidRPr="00B15279" w14:paraId="286D509A" w14:textId="77777777" w:rsidTr="00BF460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360" w:type="dxa"/>
          </w:tcPr>
          <w:p w14:paraId="56DCD081" w14:textId="77777777" w:rsidR="00BF460D" w:rsidRPr="00B15279" w:rsidRDefault="00BF460D" w:rsidP="00BF460D">
            <w:pPr>
              <w:rPr>
                <w:rFonts w:asciiTheme="majorHAnsi" w:eastAsia="Century Schoolbook" w:hAnsiTheme="majorHAnsi" w:cs="Century Schoolbook"/>
                <w:color w:val="000000"/>
                <w:szCs w:val="22"/>
              </w:rPr>
            </w:pPr>
            <w:r w:rsidRPr="00B15279">
              <w:rPr>
                <w:rFonts w:asciiTheme="majorHAnsi" w:eastAsia="Century Schoolbook" w:hAnsiTheme="majorHAnsi" w:cs="Century Schoolbook"/>
                <w:b w:val="0"/>
                <w:color w:val="000000"/>
                <w:szCs w:val="22"/>
              </w:rPr>
              <w:t>Sacramento</w:t>
            </w:r>
          </w:p>
        </w:tc>
        <w:tc>
          <w:tcPr>
            <w:tcW w:w="3240" w:type="dxa"/>
          </w:tcPr>
          <w:p w14:paraId="7037D182" w14:textId="77777777" w:rsidR="00BF460D" w:rsidRPr="00B15279" w:rsidRDefault="00BF460D" w:rsidP="00BF460D">
            <w:pPr>
              <w:jc w:val="right"/>
              <w:cnfStyle w:val="000000100000" w:firstRow="0" w:lastRow="0" w:firstColumn="0" w:lastColumn="0" w:oddVBand="0" w:evenVBand="0" w:oddHBand="1" w:evenHBand="0" w:firstRowFirstColumn="0" w:firstRowLastColumn="0" w:lastRowFirstColumn="0" w:lastRowLastColumn="0"/>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45</w:t>
            </w:r>
          </w:p>
        </w:tc>
      </w:tr>
      <w:tr w:rsidR="00BF460D" w:rsidRPr="00B15279" w14:paraId="2A0AFF29" w14:textId="77777777" w:rsidTr="00BF460D">
        <w:trPr>
          <w:trHeight w:val="311"/>
        </w:trPr>
        <w:tc>
          <w:tcPr>
            <w:cnfStyle w:val="001000000000" w:firstRow="0" w:lastRow="0" w:firstColumn="1" w:lastColumn="0" w:oddVBand="0" w:evenVBand="0" w:oddHBand="0" w:evenHBand="0" w:firstRowFirstColumn="0" w:firstRowLastColumn="0" w:lastRowFirstColumn="0" w:lastRowLastColumn="0"/>
            <w:tcW w:w="3360" w:type="dxa"/>
          </w:tcPr>
          <w:p w14:paraId="04B9FED6" w14:textId="77777777" w:rsidR="00BF460D" w:rsidRPr="00B15279" w:rsidRDefault="00BF460D" w:rsidP="00BF460D">
            <w:pPr>
              <w:rPr>
                <w:rFonts w:asciiTheme="majorHAnsi" w:eastAsia="Century Schoolbook" w:hAnsiTheme="majorHAnsi" w:cs="Century Schoolbook"/>
                <w:color w:val="000000"/>
                <w:szCs w:val="22"/>
              </w:rPr>
            </w:pPr>
            <w:r w:rsidRPr="00B15279">
              <w:rPr>
                <w:rFonts w:asciiTheme="majorHAnsi" w:eastAsia="Century Schoolbook" w:hAnsiTheme="majorHAnsi" w:cs="Century Schoolbook"/>
                <w:b w:val="0"/>
                <w:color w:val="000000"/>
                <w:szCs w:val="22"/>
              </w:rPr>
              <w:t>Rancho Cordova</w:t>
            </w:r>
          </w:p>
        </w:tc>
        <w:tc>
          <w:tcPr>
            <w:tcW w:w="3240" w:type="dxa"/>
          </w:tcPr>
          <w:p w14:paraId="6E7217E1" w14:textId="77777777" w:rsidR="00BF460D" w:rsidRPr="00B15279" w:rsidRDefault="00BF460D" w:rsidP="00BF460D">
            <w:pPr>
              <w:jc w:val="right"/>
              <w:cnfStyle w:val="000000000000" w:firstRow="0" w:lastRow="0" w:firstColumn="0" w:lastColumn="0" w:oddVBand="0" w:evenVBand="0" w:oddHBand="0" w:evenHBand="0" w:firstRowFirstColumn="0" w:firstRowLastColumn="0" w:lastRowFirstColumn="0" w:lastRowLastColumn="0"/>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41</w:t>
            </w:r>
          </w:p>
        </w:tc>
      </w:tr>
      <w:tr w:rsidR="00BF460D" w:rsidRPr="00B15279" w14:paraId="3F6796AC" w14:textId="77777777" w:rsidTr="00BF460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360" w:type="dxa"/>
          </w:tcPr>
          <w:p w14:paraId="02EB9B72" w14:textId="77777777" w:rsidR="00BF460D" w:rsidRPr="00B15279" w:rsidRDefault="00BF460D" w:rsidP="00BF460D">
            <w:pPr>
              <w:rPr>
                <w:rFonts w:asciiTheme="majorHAnsi" w:eastAsia="Century Schoolbook" w:hAnsiTheme="majorHAnsi" w:cs="Century Schoolbook"/>
                <w:color w:val="000000"/>
                <w:szCs w:val="22"/>
              </w:rPr>
            </w:pPr>
            <w:r w:rsidRPr="00B15279">
              <w:rPr>
                <w:rFonts w:asciiTheme="majorHAnsi" w:eastAsia="Century Schoolbook" w:hAnsiTheme="majorHAnsi" w:cs="Century Schoolbook"/>
                <w:b w:val="0"/>
                <w:color w:val="000000"/>
                <w:szCs w:val="22"/>
              </w:rPr>
              <w:t>Elk Grove</w:t>
            </w:r>
          </w:p>
        </w:tc>
        <w:tc>
          <w:tcPr>
            <w:tcW w:w="3240" w:type="dxa"/>
          </w:tcPr>
          <w:p w14:paraId="23B705D6" w14:textId="77777777" w:rsidR="00BF460D" w:rsidRPr="00B15279" w:rsidRDefault="00BF460D" w:rsidP="00BF460D">
            <w:pPr>
              <w:jc w:val="right"/>
              <w:cnfStyle w:val="000000100000" w:firstRow="0" w:lastRow="0" w:firstColumn="0" w:lastColumn="0" w:oddVBand="0" w:evenVBand="0" w:oddHBand="1" w:evenHBand="0" w:firstRowFirstColumn="0" w:firstRowLastColumn="0" w:lastRowFirstColumn="0" w:lastRowLastColumn="0"/>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32</w:t>
            </w:r>
          </w:p>
        </w:tc>
      </w:tr>
      <w:tr w:rsidR="00BF460D" w:rsidRPr="00B15279" w14:paraId="42F1C858" w14:textId="77777777" w:rsidTr="00BF460D">
        <w:trPr>
          <w:trHeight w:val="311"/>
        </w:trPr>
        <w:tc>
          <w:tcPr>
            <w:cnfStyle w:val="001000000000" w:firstRow="0" w:lastRow="0" w:firstColumn="1" w:lastColumn="0" w:oddVBand="0" w:evenVBand="0" w:oddHBand="0" w:evenHBand="0" w:firstRowFirstColumn="0" w:firstRowLastColumn="0" w:lastRowFirstColumn="0" w:lastRowLastColumn="0"/>
            <w:tcW w:w="3360" w:type="dxa"/>
          </w:tcPr>
          <w:p w14:paraId="040C0A3F" w14:textId="77777777" w:rsidR="00BF460D" w:rsidRPr="00B15279" w:rsidRDefault="00BF460D" w:rsidP="00BF460D">
            <w:pPr>
              <w:rPr>
                <w:rFonts w:asciiTheme="majorHAnsi" w:eastAsia="Century Schoolbook" w:hAnsiTheme="majorHAnsi" w:cs="Century Schoolbook"/>
                <w:color w:val="000000"/>
                <w:szCs w:val="22"/>
              </w:rPr>
            </w:pPr>
            <w:r w:rsidRPr="00B15279">
              <w:rPr>
                <w:rFonts w:asciiTheme="majorHAnsi" w:eastAsia="Century Schoolbook" w:hAnsiTheme="majorHAnsi" w:cs="Century Schoolbook"/>
                <w:b w:val="0"/>
                <w:color w:val="000000"/>
                <w:szCs w:val="22"/>
              </w:rPr>
              <w:t>Citrus Heights</w:t>
            </w:r>
          </w:p>
        </w:tc>
        <w:tc>
          <w:tcPr>
            <w:tcW w:w="3240" w:type="dxa"/>
          </w:tcPr>
          <w:p w14:paraId="5CF1CA7B" w14:textId="77777777" w:rsidR="00BF460D" w:rsidRPr="00B15279" w:rsidRDefault="00BF460D" w:rsidP="00BF460D">
            <w:pPr>
              <w:jc w:val="right"/>
              <w:cnfStyle w:val="000000000000" w:firstRow="0" w:lastRow="0" w:firstColumn="0" w:lastColumn="0" w:oddVBand="0" w:evenVBand="0" w:oddHBand="0" w:evenHBand="0" w:firstRowFirstColumn="0" w:firstRowLastColumn="0" w:lastRowFirstColumn="0" w:lastRowLastColumn="0"/>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43</w:t>
            </w:r>
          </w:p>
        </w:tc>
      </w:tr>
      <w:tr w:rsidR="00BF460D" w:rsidRPr="00B15279" w14:paraId="6734F0EB" w14:textId="77777777" w:rsidTr="00BF460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360" w:type="dxa"/>
          </w:tcPr>
          <w:p w14:paraId="509FB4E1" w14:textId="77777777" w:rsidR="00BF460D" w:rsidRPr="00B15279" w:rsidRDefault="00BF460D" w:rsidP="00BF460D">
            <w:pPr>
              <w:rPr>
                <w:rFonts w:asciiTheme="majorHAnsi" w:eastAsia="Century Schoolbook" w:hAnsiTheme="majorHAnsi" w:cs="Century Schoolbook"/>
                <w:color w:val="000000"/>
                <w:szCs w:val="22"/>
              </w:rPr>
            </w:pPr>
            <w:r w:rsidRPr="00B15279">
              <w:rPr>
                <w:rFonts w:asciiTheme="majorHAnsi" w:eastAsia="Century Schoolbook" w:hAnsiTheme="majorHAnsi" w:cs="Century Schoolbook"/>
                <w:b w:val="0"/>
                <w:color w:val="000000"/>
                <w:szCs w:val="22"/>
              </w:rPr>
              <w:t>Folsom</w:t>
            </w:r>
          </w:p>
        </w:tc>
        <w:tc>
          <w:tcPr>
            <w:tcW w:w="3240" w:type="dxa"/>
          </w:tcPr>
          <w:p w14:paraId="19EAFE92" w14:textId="77777777" w:rsidR="00BF460D" w:rsidRPr="00B15279" w:rsidRDefault="00BF460D" w:rsidP="00BF460D">
            <w:pPr>
              <w:jc w:val="right"/>
              <w:cnfStyle w:val="000000100000" w:firstRow="0" w:lastRow="0" w:firstColumn="0" w:lastColumn="0" w:oddVBand="0" w:evenVBand="0" w:oddHBand="1" w:evenHBand="0" w:firstRowFirstColumn="0" w:firstRowLastColumn="0" w:lastRowFirstColumn="0" w:lastRowLastColumn="0"/>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30</w:t>
            </w:r>
          </w:p>
        </w:tc>
      </w:tr>
      <w:tr w:rsidR="00BF460D" w:rsidRPr="00B15279" w14:paraId="49DA4CCE" w14:textId="77777777" w:rsidTr="00BF460D">
        <w:trPr>
          <w:trHeight w:val="311"/>
        </w:trPr>
        <w:tc>
          <w:tcPr>
            <w:cnfStyle w:val="001000000000" w:firstRow="0" w:lastRow="0" w:firstColumn="1" w:lastColumn="0" w:oddVBand="0" w:evenVBand="0" w:oddHBand="0" w:evenHBand="0" w:firstRowFirstColumn="0" w:firstRowLastColumn="0" w:lastRowFirstColumn="0" w:lastRowLastColumn="0"/>
            <w:tcW w:w="3360" w:type="dxa"/>
          </w:tcPr>
          <w:p w14:paraId="750B44F4" w14:textId="77777777" w:rsidR="00BF460D" w:rsidRPr="00B15279" w:rsidRDefault="00BF460D" w:rsidP="00BF460D">
            <w:pPr>
              <w:rPr>
                <w:rFonts w:asciiTheme="majorHAnsi" w:eastAsia="Century Schoolbook" w:hAnsiTheme="majorHAnsi" w:cs="Century Schoolbook"/>
                <w:color w:val="000000"/>
                <w:szCs w:val="22"/>
              </w:rPr>
            </w:pPr>
            <w:r w:rsidRPr="00B15279">
              <w:rPr>
                <w:rFonts w:asciiTheme="majorHAnsi" w:eastAsia="Century Schoolbook" w:hAnsiTheme="majorHAnsi" w:cs="Century Schoolbook"/>
                <w:b w:val="0"/>
                <w:color w:val="000000"/>
                <w:szCs w:val="22"/>
              </w:rPr>
              <w:t>Galt</w:t>
            </w:r>
          </w:p>
        </w:tc>
        <w:tc>
          <w:tcPr>
            <w:tcW w:w="3240" w:type="dxa"/>
          </w:tcPr>
          <w:p w14:paraId="4C613FD3" w14:textId="77777777" w:rsidR="00BF460D" w:rsidRPr="00B15279" w:rsidRDefault="00BF460D" w:rsidP="00BF460D">
            <w:pPr>
              <w:jc w:val="right"/>
              <w:cnfStyle w:val="000000000000" w:firstRow="0" w:lastRow="0" w:firstColumn="0" w:lastColumn="0" w:oddVBand="0" w:evenVBand="0" w:oddHBand="0" w:evenHBand="0" w:firstRowFirstColumn="0" w:firstRowLastColumn="0" w:lastRowFirstColumn="0" w:lastRowLastColumn="0"/>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31</w:t>
            </w:r>
          </w:p>
        </w:tc>
      </w:tr>
      <w:tr w:rsidR="00BF460D" w:rsidRPr="00B15279" w14:paraId="29580D52" w14:textId="77777777" w:rsidTr="00BF460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360" w:type="dxa"/>
          </w:tcPr>
          <w:p w14:paraId="56C15BCB" w14:textId="77777777" w:rsidR="00BF460D" w:rsidRPr="00B15279" w:rsidRDefault="00BF460D" w:rsidP="00BF460D">
            <w:pPr>
              <w:rPr>
                <w:rFonts w:asciiTheme="majorHAnsi" w:eastAsia="Century Schoolbook" w:hAnsiTheme="majorHAnsi" w:cs="Century Schoolbook"/>
                <w:color w:val="000000"/>
                <w:szCs w:val="22"/>
              </w:rPr>
            </w:pPr>
            <w:r w:rsidRPr="00B15279">
              <w:rPr>
                <w:rFonts w:asciiTheme="majorHAnsi" w:eastAsia="Century Schoolbook" w:hAnsiTheme="majorHAnsi" w:cs="Century Schoolbook"/>
                <w:b w:val="0"/>
                <w:color w:val="000000"/>
                <w:szCs w:val="22"/>
              </w:rPr>
              <w:t>Isleton</w:t>
            </w:r>
          </w:p>
        </w:tc>
        <w:tc>
          <w:tcPr>
            <w:tcW w:w="3240" w:type="dxa"/>
          </w:tcPr>
          <w:p w14:paraId="52EB563C" w14:textId="77777777" w:rsidR="00BF460D" w:rsidRPr="00B15279" w:rsidRDefault="00BF460D" w:rsidP="00BF460D">
            <w:pPr>
              <w:jc w:val="right"/>
              <w:cnfStyle w:val="000000100000" w:firstRow="0" w:lastRow="0" w:firstColumn="0" w:lastColumn="0" w:oddVBand="0" w:evenVBand="0" w:oddHBand="1" w:evenHBand="0" w:firstRowFirstColumn="0" w:firstRowLastColumn="0" w:lastRowFirstColumn="0" w:lastRowLastColumn="0"/>
              <w:rPr>
                <w:rFonts w:asciiTheme="majorHAnsi" w:eastAsia="Century Schoolbook" w:hAnsiTheme="majorHAnsi" w:cs="Century Schoolbook"/>
                <w:color w:val="000000"/>
                <w:szCs w:val="22"/>
              </w:rPr>
            </w:pPr>
            <w:r w:rsidRPr="00B15279">
              <w:rPr>
                <w:rFonts w:asciiTheme="majorHAnsi" w:eastAsia="Century Schoolbook" w:hAnsiTheme="majorHAnsi" w:cs="Century Schoolbook"/>
                <w:color w:val="000000"/>
                <w:szCs w:val="22"/>
              </w:rPr>
              <w:t>37</w:t>
            </w:r>
          </w:p>
        </w:tc>
      </w:tr>
    </w:tbl>
    <w:p w14:paraId="1EF943C4" w14:textId="77777777" w:rsidR="008A4582" w:rsidRPr="00B15279" w:rsidRDefault="008A4582">
      <w:pPr>
        <w:spacing w:line="480" w:lineRule="auto"/>
        <w:rPr>
          <w:rFonts w:asciiTheme="majorHAnsi" w:eastAsia="Century Schoolbook" w:hAnsiTheme="majorHAnsi" w:cs="Century Schoolbook"/>
          <w:color w:val="0E101A"/>
        </w:rPr>
      </w:pPr>
    </w:p>
    <w:p w14:paraId="00000053" w14:textId="041E719D" w:rsidR="00284308" w:rsidRPr="00B15279" w:rsidRDefault="00EE5CAD" w:rsidP="008A4582">
      <w:pPr>
        <w:spacing w:line="480" w:lineRule="auto"/>
        <w:jc w:val="center"/>
        <w:rPr>
          <w:rFonts w:asciiTheme="majorHAnsi" w:eastAsia="Century Schoolbook" w:hAnsiTheme="majorHAnsi" w:cs="Century Schoolbook"/>
          <w:color w:val="0E101A"/>
        </w:rPr>
        <w:sectPr w:rsidR="00284308" w:rsidRPr="00B15279">
          <w:pgSz w:w="12240" w:h="15840"/>
          <w:pgMar w:top="1440" w:right="1440" w:bottom="1440" w:left="1440" w:header="720" w:footer="720" w:gutter="0"/>
          <w:pgNumType w:start="0"/>
          <w:cols w:space="720"/>
          <w:titlePg/>
        </w:sectPr>
      </w:pPr>
      <w:r w:rsidRPr="00B15279">
        <w:rPr>
          <w:rFonts w:asciiTheme="majorHAnsi" w:eastAsia="Century Schoolbook" w:hAnsiTheme="majorHAnsi" w:cs="Century Schoolbook"/>
          <w:color w:val="0E101A"/>
        </w:rPr>
        <w:t>Source: (Walk Score, 2021)</w:t>
      </w:r>
    </w:p>
    <w:p w14:paraId="00000054" w14:textId="77777777" w:rsidR="00284308" w:rsidRPr="00B15279" w:rsidRDefault="00EE5CAD">
      <w:pPr>
        <w:spacing w:line="480" w:lineRule="auto"/>
        <w:jc w:val="center"/>
        <w:rPr>
          <w:rFonts w:asciiTheme="majorHAnsi" w:eastAsia="Century Schoolbook" w:hAnsiTheme="majorHAnsi" w:cs="Century Schoolbook"/>
          <w:b/>
          <w:color w:val="0E101A"/>
        </w:rPr>
      </w:pPr>
      <w:r w:rsidRPr="00B15279">
        <w:rPr>
          <w:rFonts w:asciiTheme="majorHAnsi" w:eastAsia="Century Schoolbook" w:hAnsiTheme="majorHAnsi" w:cs="Century Schoolbook"/>
          <w:b/>
          <w:color w:val="000000" w:themeColor="text1"/>
        </w:rPr>
        <w:lastRenderedPageBreak/>
        <w:t>Table 3: Map of the Sacramento Region with Walk Score Ranges</w:t>
      </w:r>
      <w:r w:rsidRPr="00B15279">
        <w:rPr>
          <w:rFonts w:asciiTheme="majorHAnsi" w:hAnsiTheme="majorHAnsi"/>
          <w:noProof/>
        </w:rPr>
        <w:drawing>
          <wp:anchor distT="114300" distB="114300" distL="114300" distR="114300" simplePos="0" relativeHeight="251660288" behindDoc="0" locked="0" layoutInCell="1" hidden="0" allowOverlap="1">
            <wp:simplePos x="0" y="0"/>
            <wp:positionH relativeFrom="column">
              <wp:posOffset>171450</wp:posOffset>
            </wp:positionH>
            <wp:positionV relativeFrom="paragraph">
              <wp:posOffset>577850</wp:posOffset>
            </wp:positionV>
            <wp:extent cx="7499350" cy="3873500"/>
            <wp:effectExtent l="0" t="0" r="0" b="0"/>
            <wp:wrapSquare wrapText="bothSides" distT="114300" distB="114300" distL="114300" distR="114300"/>
            <wp:docPr id="1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499350" cy="3873500"/>
                    </a:xfrm>
                    <a:prstGeom prst="rect">
                      <a:avLst/>
                    </a:prstGeom>
                    <a:ln/>
                  </pic:spPr>
                </pic:pic>
              </a:graphicData>
            </a:graphic>
          </wp:anchor>
        </w:drawing>
      </w:r>
    </w:p>
    <w:p w14:paraId="00000055" w14:textId="77777777" w:rsidR="00284308" w:rsidRPr="00B15279" w:rsidRDefault="00EE5CAD">
      <w:pPr>
        <w:tabs>
          <w:tab w:val="left" w:pos="1400"/>
        </w:tabs>
        <w:spacing w:line="480" w:lineRule="auto"/>
        <w:jc w:val="center"/>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Source: (Walk Score, 2021)</w:t>
      </w:r>
    </w:p>
    <w:p w14:paraId="00000056" w14:textId="77777777" w:rsidR="00284308" w:rsidRPr="00B15279" w:rsidRDefault="00284308">
      <w:pPr>
        <w:tabs>
          <w:tab w:val="left" w:pos="1400"/>
        </w:tabs>
        <w:spacing w:line="480" w:lineRule="auto"/>
        <w:jc w:val="center"/>
        <w:rPr>
          <w:rFonts w:asciiTheme="majorHAnsi" w:eastAsia="Century Schoolbook" w:hAnsiTheme="majorHAnsi" w:cs="Century Schoolbook"/>
          <w:color w:val="0E101A"/>
        </w:rPr>
      </w:pPr>
    </w:p>
    <w:p w14:paraId="00000057" w14:textId="77777777" w:rsidR="00284308" w:rsidRPr="00B15279" w:rsidRDefault="00284308">
      <w:pPr>
        <w:rPr>
          <w:rFonts w:asciiTheme="majorHAnsi" w:eastAsia="Century Schoolbook" w:hAnsiTheme="majorHAnsi" w:cs="Century Schoolbook"/>
        </w:rPr>
        <w:sectPr w:rsidR="00284308" w:rsidRPr="00B15279">
          <w:pgSz w:w="15840" w:h="12240" w:orient="landscape"/>
          <w:pgMar w:top="1440" w:right="1440" w:bottom="1440" w:left="1440" w:header="720" w:footer="720" w:gutter="0"/>
          <w:pgNumType w:start="1"/>
          <w:cols w:space="720"/>
        </w:sectPr>
      </w:pPr>
    </w:p>
    <w:p w14:paraId="00000058"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b/>
          <w:i/>
          <w:color w:val="0E101A"/>
        </w:rPr>
      </w:pPr>
      <w:bookmarkStart w:id="1" w:name="_heading=h.hh8qu9nzz51y" w:colFirst="0" w:colLast="0"/>
      <w:bookmarkEnd w:id="1"/>
      <w:r w:rsidRPr="00B15279">
        <w:rPr>
          <w:rFonts w:asciiTheme="majorHAnsi" w:eastAsia="Century Schoolbook" w:hAnsiTheme="majorHAnsi" w:cs="Century Schoolbook"/>
          <w:b/>
          <w:i/>
          <w:color w:val="0E101A"/>
        </w:rPr>
        <w:lastRenderedPageBreak/>
        <w:t>About SACOG and its Interest in Walkability</w:t>
      </w:r>
    </w:p>
    <w:p w14:paraId="00000059"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SACOG is an association of local governments in the six-county Sacramento region. Members of SACOG include t</w:t>
      </w:r>
      <w:r w:rsidRPr="00B15279">
        <w:rPr>
          <w:rFonts w:asciiTheme="majorHAnsi" w:eastAsia="Century Schoolbook" w:hAnsiTheme="majorHAnsi" w:cs="Century Schoolbook"/>
          <w:color w:val="0E101A"/>
        </w:rPr>
        <w:t>he counties of El Dorado, Placer, Sacramento, Sutter, Yolo, Yuba, and the 22 cities within. SACOG provides transportation planning for the region by preparing the region’s long-range transportation plan, approving affordable housing, assisting in transit p</w:t>
      </w:r>
      <w:r w:rsidRPr="00B15279">
        <w:rPr>
          <w:rFonts w:asciiTheme="majorHAnsi" w:eastAsia="Century Schoolbook" w:hAnsiTheme="majorHAnsi" w:cs="Century Schoolbook"/>
          <w:color w:val="0E101A"/>
        </w:rPr>
        <w:t>lanning, creating bicycle networks, clean air, and airport land use (SACOG, 2021). </w:t>
      </w:r>
    </w:p>
    <w:p w14:paraId="0000005A" w14:textId="77777777" w:rsidR="00284308" w:rsidRPr="00B15279" w:rsidRDefault="00EE5CAD">
      <w:pPr>
        <w:pBdr>
          <w:top w:val="nil"/>
          <w:left w:val="nil"/>
          <w:bottom w:val="nil"/>
          <w:right w:val="nil"/>
          <w:between w:val="nil"/>
        </w:pBdr>
        <w:spacing w:line="480" w:lineRule="auto"/>
        <w:jc w:val="center"/>
        <w:rPr>
          <w:rFonts w:asciiTheme="majorHAnsi" w:eastAsia="Century Schoolbook" w:hAnsiTheme="majorHAnsi" w:cs="Century Schoolbook"/>
          <w:b/>
          <w:color w:val="0E101A"/>
        </w:rPr>
      </w:pPr>
      <w:r w:rsidRPr="00B15279">
        <w:rPr>
          <w:rFonts w:asciiTheme="majorHAnsi" w:eastAsia="Century Schoolbook" w:hAnsiTheme="majorHAnsi" w:cs="Century Schoolbook"/>
          <w:b/>
          <w:color w:val="0E101A"/>
        </w:rPr>
        <w:t>Table 4: Map of SACOG’s Planning Area</w:t>
      </w:r>
      <w:r w:rsidRPr="00B15279">
        <w:rPr>
          <w:rFonts w:asciiTheme="majorHAnsi" w:hAnsiTheme="majorHAnsi"/>
          <w:noProof/>
        </w:rPr>
        <w:drawing>
          <wp:anchor distT="114300" distB="114300" distL="114300" distR="114300" simplePos="0" relativeHeight="251661312" behindDoc="0" locked="0" layoutInCell="1" hidden="0" allowOverlap="1">
            <wp:simplePos x="0" y="0"/>
            <wp:positionH relativeFrom="column">
              <wp:posOffset>958850</wp:posOffset>
            </wp:positionH>
            <wp:positionV relativeFrom="paragraph">
              <wp:posOffset>353059</wp:posOffset>
            </wp:positionV>
            <wp:extent cx="4381500" cy="4112895"/>
            <wp:effectExtent l="0" t="0" r="0" b="0"/>
            <wp:wrapSquare wrapText="bothSides" distT="114300" distB="114300" distL="114300" distR="114300"/>
            <wp:docPr id="1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r="4364" b="10032"/>
                    <a:stretch>
                      <a:fillRect/>
                    </a:stretch>
                  </pic:blipFill>
                  <pic:spPr>
                    <a:xfrm>
                      <a:off x="0" y="0"/>
                      <a:ext cx="4381500" cy="4112895"/>
                    </a:xfrm>
                    <a:prstGeom prst="rect">
                      <a:avLst/>
                    </a:prstGeom>
                    <a:ln/>
                  </pic:spPr>
                </pic:pic>
              </a:graphicData>
            </a:graphic>
          </wp:anchor>
        </w:drawing>
      </w:r>
    </w:p>
    <w:p w14:paraId="0000005B" w14:textId="77777777" w:rsidR="00284308" w:rsidRPr="00B15279" w:rsidRDefault="00284308">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p>
    <w:p w14:paraId="0000005C" w14:textId="77777777" w:rsidR="00284308" w:rsidRPr="00B15279" w:rsidRDefault="00284308">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p>
    <w:p w14:paraId="0000005D" w14:textId="77777777" w:rsidR="00284308" w:rsidRPr="00B15279" w:rsidRDefault="00284308">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p>
    <w:p w14:paraId="0000005E" w14:textId="77777777" w:rsidR="00284308" w:rsidRPr="00B15279" w:rsidRDefault="00284308">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p>
    <w:p w14:paraId="0000005F" w14:textId="77777777" w:rsidR="00284308" w:rsidRPr="00B15279" w:rsidRDefault="00284308">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p>
    <w:p w14:paraId="00000060" w14:textId="77777777" w:rsidR="00284308" w:rsidRPr="00B15279" w:rsidRDefault="00284308">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p>
    <w:p w14:paraId="00000061"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color w:val="0E101A"/>
        </w:rPr>
      </w:pPr>
    </w:p>
    <w:p w14:paraId="00000062" w14:textId="77777777" w:rsidR="00284308" w:rsidRPr="00B15279" w:rsidRDefault="00284308">
      <w:pPr>
        <w:pBdr>
          <w:top w:val="nil"/>
          <w:left w:val="nil"/>
          <w:bottom w:val="nil"/>
          <w:right w:val="nil"/>
          <w:between w:val="nil"/>
        </w:pBdr>
        <w:spacing w:line="480" w:lineRule="auto"/>
        <w:jc w:val="center"/>
        <w:rPr>
          <w:rFonts w:asciiTheme="majorHAnsi" w:eastAsia="Century Schoolbook" w:hAnsiTheme="majorHAnsi" w:cs="Century Schoolbook"/>
          <w:color w:val="0E101A"/>
        </w:rPr>
      </w:pPr>
    </w:p>
    <w:p w14:paraId="00000063" w14:textId="77777777" w:rsidR="00284308" w:rsidRPr="00B15279" w:rsidRDefault="00284308">
      <w:pPr>
        <w:pBdr>
          <w:top w:val="nil"/>
          <w:left w:val="nil"/>
          <w:bottom w:val="nil"/>
          <w:right w:val="nil"/>
          <w:between w:val="nil"/>
        </w:pBdr>
        <w:spacing w:line="480" w:lineRule="auto"/>
        <w:jc w:val="center"/>
        <w:rPr>
          <w:rFonts w:asciiTheme="majorHAnsi" w:eastAsia="Century Schoolbook" w:hAnsiTheme="majorHAnsi" w:cs="Century Schoolbook"/>
          <w:color w:val="0E101A"/>
        </w:rPr>
      </w:pPr>
    </w:p>
    <w:p w14:paraId="00000064" w14:textId="77777777" w:rsidR="00284308" w:rsidRPr="00B15279" w:rsidRDefault="00284308">
      <w:pPr>
        <w:pBdr>
          <w:top w:val="nil"/>
          <w:left w:val="nil"/>
          <w:bottom w:val="nil"/>
          <w:right w:val="nil"/>
          <w:between w:val="nil"/>
        </w:pBdr>
        <w:spacing w:line="480" w:lineRule="auto"/>
        <w:jc w:val="center"/>
        <w:rPr>
          <w:rFonts w:asciiTheme="majorHAnsi" w:eastAsia="Century Schoolbook" w:hAnsiTheme="majorHAnsi" w:cs="Century Schoolbook"/>
          <w:color w:val="0E101A"/>
        </w:rPr>
      </w:pPr>
    </w:p>
    <w:p w14:paraId="00000065" w14:textId="77777777" w:rsidR="00284308" w:rsidRPr="00B15279" w:rsidRDefault="00284308">
      <w:pPr>
        <w:pBdr>
          <w:top w:val="nil"/>
          <w:left w:val="nil"/>
          <w:bottom w:val="nil"/>
          <w:right w:val="nil"/>
          <w:between w:val="nil"/>
        </w:pBdr>
        <w:spacing w:line="480" w:lineRule="auto"/>
        <w:jc w:val="center"/>
        <w:rPr>
          <w:rFonts w:asciiTheme="majorHAnsi" w:eastAsia="Century Schoolbook" w:hAnsiTheme="majorHAnsi" w:cs="Century Schoolbook"/>
          <w:color w:val="0E101A"/>
        </w:rPr>
      </w:pPr>
    </w:p>
    <w:p w14:paraId="00000066" w14:textId="77777777" w:rsidR="00284308" w:rsidRPr="00B15279" w:rsidRDefault="00284308">
      <w:pPr>
        <w:pBdr>
          <w:top w:val="nil"/>
          <w:left w:val="nil"/>
          <w:bottom w:val="nil"/>
          <w:right w:val="nil"/>
          <w:between w:val="nil"/>
        </w:pBdr>
        <w:spacing w:line="480" w:lineRule="auto"/>
        <w:jc w:val="center"/>
        <w:rPr>
          <w:rFonts w:asciiTheme="majorHAnsi" w:eastAsia="Century Schoolbook" w:hAnsiTheme="majorHAnsi" w:cs="Century Schoolbook"/>
          <w:color w:val="0E101A"/>
        </w:rPr>
      </w:pPr>
    </w:p>
    <w:p w14:paraId="00000067" w14:textId="77777777" w:rsidR="00284308" w:rsidRPr="00B15279" w:rsidRDefault="00EE5CAD">
      <w:pPr>
        <w:pBdr>
          <w:top w:val="nil"/>
          <w:left w:val="nil"/>
          <w:bottom w:val="nil"/>
          <w:right w:val="nil"/>
          <w:between w:val="nil"/>
        </w:pBdr>
        <w:spacing w:line="480" w:lineRule="auto"/>
        <w:jc w:val="center"/>
        <w:rPr>
          <w:rFonts w:asciiTheme="majorHAnsi" w:eastAsia="Century Schoolbook" w:hAnsiTheme="majorHAnsi" w:cs="Century Schoolbook"/>
          <w:b/>
          <w:color w:val="0E101A"/>
        </w:rPr>
      </w:pPr>
      <w:r w:rsidRPr="00B15279">
        <w:rPr>
          <w:rFonts w:asciiTheme="majorHAnsi" w:eastAsia="Century Schoolbook" w:hAnsiTheme="majorHAnsi" w:cs="Century Schoolbook"/>
          <w:color w:val="0E101A"/>
        </w:rPr>
        <w:t>Source: (SACOG, 2021)</w:t>
      </w:r>
    </w:p>
    <w:p w14:paraId="00000068"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 xml:space="preserve">SACOG has initiatives that promote walkable neighborhoods as strategies developed in regional plans. Several regional plans including the Sacramento Region </w:t>
      </w:r>
      <w:r w:rsidRPr="00B15279">
        <w:rPr>
          <w:rFonts w:asciiTheme="majorHAnsi" w:eastAsia="Century Schoolbook" w:hAnsiTheme="majorHAnsi" w:cs="Century Schoolbook"/>
          <w:color w:val="0E101A"/>
        </w:rPr>
        <w:lastRenderedPageBreak/>
        <w:t>Blueprint and 2020 Metropolitan Transportation/Sustainable Communities Strategies Plan (MTP/SCS) hav</w:t>
      </w:r>
      <w:r w:rsidRPr="00B15279">
        <w:rPr>
          <w:rFonts w:asciiTheme="majorHAnsi" w:eastAsia="Century Schoolbook" w:hAnsiTheme="majorHAnsi" w:cs="Century Schoolbook"/>
          <w:color w:val="0E101A"/>
        </w:rPr>
        <w:t xml:space="preserve">e initiatives that support walkability goals. For example, Green Means Go Green Zones aims to lower green GHG emissions by reducing and electrifying vehicle trips and accelerating infill development (SACOG, 2021). </w:t>
      </w:r>
    </w:p>
    <w:p w14:paraId="00000069"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SACOG’s regional goals addresses the regi</w:t>
      </w:r>
      <w:r w:rsidRPr="00B15279">
        <w:rPr>
          <w:rFonts w:asciiTheme="majorHAnsi" w:eastAsia="Century Schoolbook" w:hAnsiTheme="majorHAnsi" w:cs="Century Schoolbook"/>
          <w:color w:val="0E101A"/>
        </w:rPr>
        <w:t xml:space="preserve">on’s land use, air quality, and transportation needs. In 2002, the SACOG Board of Directors created the Sacramento Region Blueprint Project to tackle congestion in the Sacramento region. The organization anticipated that without further action, congestion </w:t>
      </w:r>
      <w:r w:rsidRPr="00B15279">
        <w:rPr>
          <w:rFonts w:asciiTheme="majorHAnsi" w:eastAsia="Century Schoolbook" w:hAnsiTheme="majorHAnsi" w:cs="Century Schoolbook"/>
          <w:color w:val="0E101A"/>
        </w:rPr>
        <w:t>could increase to over 50 percent by 2025 (SACOG 2021). The Sacramento Region Blueprint is a smart growth vision with a list of principles that encourages better use of land and transportation planning to promote housing options closer to employment, socia</w:t>
      </w:r>
      <w:r w:rsidRPr="00B15279">
        <w:rPr>
          <w:rFonts w:asciiTheme="majorHAnsi" w:eastAsia="Century Schoolbook" w:hAnsiTheme="majorHAnsi" w:cs="Century Schoolbook"/>
          <w:color w:val="0E101A"/>
        </w:rPr>
        <w:t>l activities, and alternatives for people to walk, bike and take public transportation. In the 2020 MTP/SCS report, SACOG also included the Regional Bicycle, Pedestrian, and Trails Master Plan, which strategizes how to promote healthy living and active com</w:t>
      </w:r>
      <w:r w:rsidRPr="00B15279">
        <w:rPr>
          <w:rFonts w:asciiTheme="majorHAnsi" w:eastAsia="Century Schoolbook" w:hAnsiTheme="majorHAnsi" w:cs="Century Schoolbook"/>
          <w:color w:val="0E101A"/>
        </w:rPr>
        <w:t xml:space="preserve">munities. </w:t>
      </w:r>
    </w:p>
    <w:p w14:paraId="0000006A"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bookmarkStart w:id="2" w:name="_heading=h.30j0zll" w:colFirst="0" w:colLast="0"/>
      <w:bookmarkEnd w:id="2"/>
      <w:r w:rsidRPr="00B15279">
        <w:rPr>
          <w:rFonts w:asciiTheme="majorHAnsi" w:eastAsia="Century Schoolbook" w:hAnsiTheme="majorHAnsi" w:cs="Century Schoolbook"/>
          <w:color w:val="0E101A"/>
        </w:rPr>
        <w:t>Increasing pedestrian-friendly neighborhoods is a policy concern for SACOG because the organization is responsible for maintaining the vitality of cities and the sustainability of all communities. Since the state of California passed the Sustain</w:t>
      </w:r>
      <w:r w:rsidRPr="00B15279">
        <w:rPr>
          <w:rFonts w:asciiTheme="majorHAnsi" w:eastAsia="Century Schoolbook" w:hAnsiTheme="majorHAnsi" w:cs="Century Schoolbook"/>
          <w:color w:val="0E101A"/>
        </w:rPr>
        <w:t>able Communities and Climate Protection Act of 2008 (also known as SB 375) the California Department of Air Resources Board (CARB) is required to set the regional targets for GHG emission reduction from vehicles. SACOG and other regional Metropolitan Plann</w:t>
      </w:r>
      <w:r w:rsidRPr="00B15279">
        <w:rPr>
          <w:rFonts w:asciiTheme="majorHAnsi" w:eastAsia="Century Schoolbook" w:hAnsiTheme="majorHAnsi" w:cs="Century Schoolbook"/>
          <w:color w:val="0E101A"/>
        </w:rPr>
        <w:t xml:space="preserve">ing Organizations (MPO) are required to develop a Sustainable Communities Strategy (SCS) every four to five years to describe how emission targets will be </w:t>
      </w:r>
      <w:r w:rsidRPr="00B15279">
        <w:rPr>
          <w:rFonts w:asciiTheme="majorHAnsi" w:eastAsia="Century Schoolbook" w:hAnsiTheme="majorHAnsi" w:cs="Century Schoolbook"/>
          <w:color w:val="0E101A"/>
        </w:rPr>
        <w:lastRenderedPageBreak/>
        <w:t>achieved. As directed by CARB, SACOG needs to ensure that transportation and land use patterns can re</w:t>
      </w:r>
      <w:r w:rsidRPr="00B15279">
        <w:rPr>
          <w:rFonts w:asciiTheme="majorHAnsi" w:eastAsia="Century Schoolbook" w:hAnsiTheme="majorHAnsi" w:cs="Century Schoolbook"/>
          <w:color w:val="0E101A"/>
        </w:rPr>
        <w:t>duce GHG emissions by 19 percent. SACOG recognizes the importance of anticipating regional changes in its planning and has described in the Sacramento Region Blueprint as well as in similar plans that the development and design decisions made by a communit</w:t>
      </w:r>
      <w:r w:rsidRPr="00B15279">
        <w:rPr>
          <w:rFonts w:asciiTheme="majorHAnsi" w:eastAsia="Century Schoolbook" w:hAnsiTheme="majorHAnsi" w:cs="Century Schoolbook"/>
          <w:color w:val="0E101A"/>
        </w:rPr>
        <w:t>y do have strong implications, whether positive or negative, on regional development patterns (SACOG, History Blueprint). SACOG has projected that the region will expect to see an increase in congestion if current land, housing, and transportation practice</w:t>
      </w:r>
      <w:r w:rsidRPr="00B15279">
        <w:rPr>
          <w:rFonts w:asciiTheme="majorHAnsi" w:eastAsia="Century Schoolbook" w:hAnsiTheme="majorHAnsi" w:cs="Century Schoolbook"/>
          <w:color w:val="0E101A"/>
        </w:rPr>
        <w:t>s remain the same. The region expects to see a population increase by 620,000 people by 2040, which means over 2.9 million individuals. The association will need to encourage the development of enough homes, expand job opportunities, and continue to attrac</w:t>
      </w:r>
      <w:r w:rsidRPr="00B15279">
        <w:rPr>
          <w:rFonts w:asciiTheme="majorHAnsi" w:eastAsia="Century Schoolbook" w:hAnsiTheme="majorHAnsi" w:cs="Century Schoolbook"/>
          <w:color w:val="0E101A"/>
        </w:rPr>
        <w:t>t innovative individuals.</w:t>
      </w:r>
    </w:p>
    <w:p w14:paraId="0000006B"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Changing existing streets to become more pedestrian-friendly could mean changing the built environment if individuals can access parks, groceries, amenities, and nearby transit systems. With the shortage of affordable homes, indiv</w:t>
      </w:r>
      <w:r w:rsidRPr="00B15279">
        <w:rPr>
          <w:rFonts w:asciiTheme="majorHAnsi" w:eastAsia="Century Schoolbook" w:hAnsiTheme="majorHAnsi" w:cs="Century Schoolbook"/>
          <w:color w:val="0E101A"/>
        </w:rPr>
        <w:t>iduals unable to pay the hiked price may have to choose to live further away from work and will continue to rely on vehicles as their primary mode of transportation. Vehicles have been shown to increase the output of GHG emissions in California by 30 perce</w:t>
      </w:r>
      <w:r w:rsidRPr="00B15279">
        <w:rPr>
          <w:rFonts w:asciiTheme="majorHAnsi" w:eastAsia="Century Schoolbook" w:hAnsiTheme="majorHAnsi" w:cs="Century Schoolbook"/>
          <w:color w:val="0E101A"/>
        </w:rPr>
        <w:t xml:space="preserve">nt (SACOG 2020 MTP/SCS Report, 2020). It also means lost time for individuals to pursue other activities. </w:t>
      </w:r>
    </w:p>
    <w:p w14:paraId="0000006C" w14:textId="744F3B42"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What makes the lack of available walkable neighborhoods even more concerning for SACOG is how the issue has become a public health equity concern. In</w:t>
      </w:r>
      <w:r w:rsidRPr="00B15279">
        <w:rPr>
          <w:rFonts w:asciiTheme="majorHAnsi" w:eastAsia="Century Schoolbook" w:hAnsiTheme="majorHAnsi" w:cs="Century Schoolbook"/>
          <w:color w:val="0E101A"/>
        </w:rPr>
        <w:t xml:space="preserve"> a report by the UCLA Center for Health Policy Research that obtained data from the National Health and Nutrition Examination Survey and the California Health </w:t>
      </w:r>
      <w:r w:rsidRPr="00B15279">
        <w:rPr>
          <w:rFonts w:asciiTheme="majorHAnsi" w:eastAsia="Century Schoolbook" w:hAnsiTheme="majorHAnsi" w:cs="Century Schoolbook"/>
          <w:color w:val="0E101A"/>
        </w:rPr>
        <w:lastRenderedPageBreak/>
        <w:t xml:space="preserve">Information Survey, 46 percent of California adults are prediabetic or have undiagnosed diabetes </w:t>
      </w:r>
      <w:r w:rsidRPr="00B15279">
        <w:rPr>
          <w:rFonts w:asciiTheme="majorHAnsi" w:eastAsia="Century Schoolbook" w:hAnsiTheme="majorHAnsi" w:cs="Century Schoolbook"/>
          <w:color w:val="0E101A"/>
        </w:rPr>
        <w:t xml:space="preserve">and 9 percent of individuals already have diabetes. This means that there are currently 13 million individuals who are in the stage directly before a full-blown diabetes diagnosis and do not yet know and 2.5 million who already have the chronic condition. </w:t>
      </w:r>
      <w:r w:rsidRPr="00B15279">
        <w:rPr>
          <w:rFonts w:asciiTheme="majorHAnsi" w:eastAsia="Century Schoolbook" w:hAnsiTheme="majorHAnsi" w:cs="Century Schoolbook"/>
          <w:color w:val="0E101A"/>
        </w:rPr>
        <w:t>In Sacramento</w:t>
      </w:r>
      <w:r w:rsidR="00BF460D" w:rsidRPr="00B15279">
        <w:rPr>
          <w:rFonts w:asciiTheme="majorHAnsi" w:eastAsia="Century Schoolbook" w:hAnsiTheme="majorHAnsi" w:cs="Century Schoolbook"/>
          <w:color w:val="0E101A"/>
        </w:rPr>
        <w:t xml:space="preserve"> C</w:t>
      </w:r>
      <w:r w:rsidRPr="00B15279">
        <w:rPr>
          <w:rFonts w:asciiTheme="majorHAnsi" w:eastAsia="Century Schoolbook" w:hAnsiTheme="majorHAnsi" w:cs="Century Schoolbook"/>
          <w:color w:val="0E101A"/>
        </w:rPr>
        <w:t>ounty for example, there are 55 percent of individuals who either already have diabetes, or are prediabetic. The California Department of Public Health (CDPH) reports that lifestyle changes that can encourage physical activity can reduce the</w:t>
      </w:r>
      <w:r w:rsidRPr="00B15279">
        <w:rPr>
          <w:rFonts w:asciiTheme="majorHAnsi" w:eastAsia="Century Schoolbook" w:hAnsiTheme="majorHAnsi" w:cs="Century Schoolbook"/>
          <w:color w:val="0E101A"/>
        </w:rPr>
        <w:t xml:space="preserve"> risks of getting diagnosed with type 2 diabetes (</w:t>
      </w:r>
      <w:proofErr w:type="spellStart"/>
      <w:r w:rsidRPr="00B15279">
        <w:rPr>
          <w:rFonts w:asciiTheme="majorHAnsi" w:eastAsia="Century Schoolbook" w:hAnsiTheme="majorHAnsi" w:cs="Century Schoolbook"/>
          <w:color w:val="0E101A"/>
        </w:rPr>
        <w:t>Babey</w:t>
      </w:r>
      <w:proofErr w:type="spellEnd"/>
      <w:r w:rsidRPr="00B15279">
        <w:rPr>
          <w:rFonts w:asciiTheme="majorHAnsi" w:eastAsia="Century Schoolbook" w:hAnsiTheme="majorHAnsi" w:cs="Century Schoolbook"/>
          <w:color w:val="0E101A"/>
        </w:rPr>
        <w:t xml:space="preserve"> et. al, 2016). Maintaining and increasing walkable neighborhoods are strategies that can eliminate barriers for healthy communities in the Sacramento region.   </w:t>
      </w:r>
    </w:p>
    <w:p w14:paraId="0000006D"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b/>
          <w:i/>
          <w:color w:val="0E101A"/>
        </w:rPr>
      </w:pPr>
      <w:r w:rsidRPr="00B15279">
        <w:rPr>
          <w:rFonts w:asciiTheme="majorHAnsi" w:eastAsia="Century Schoolbook" w:hAnsiTheme="majorHAnsi" w:cs="Century Schoolbook"/>
          <w:b/>
          <w:i/>
          <w:color w:val="0E101A"/>
        </w:rPr>
        <w:t>Why Does the Issue Need Government Inte</w:t>
      </w:r>
      <w:r w:rsidRPr="00B15279">
        <w:rPr>
          <w:rFonts w:asciiTheme="majorHAnsi" w:eastAsia="Century Schoolbook" w:hAnsiTheme="majorHAnsi" w:cs="Century Schoolbook"/>
          <w:b/>
          <w:i/>
          <w:color w:val="0E101A"/>
        </w:rPr>
        <w:t>rvention? </w:t>
      </w:r>
    </w:p>
    <w:p w14:paraId="0000006E"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bookmarkStart w:id="3" w:name="_heading=h.1fob9te" w:colFirst="0" w:colLast="0"/>
      <w:bookmarkEnd w:id="3"/>
      <w:r w:rsidRPr="00B15279">
        <w:rPr>
          <w:rFonts w:asciiTheme="majorHAnsi" w:eastAsia="Century Schoolbook" w:hAnsiTheme="majorHAnsi" w:cs="Century Schoolbook"/>
          <w:color w:val="0E101A"/>
        </w:rPr>
        <w:t>Too few walkable neighborhoods in the Sacramento region are an equity and public good issue that deserve attention from SACOG, because the challenge requires long-term planning and guidance from a collaboration of local governments. Now that loc</w:t>
      </w:r>
      <w:r w:rsidRPr="00B15279">
        <w:rPr>
          <w:rFonts w:asciiTheme="majorHAnsi" w:eastAsia="Century Schoolbook" w:hAnsiTheme="majorHAnsi" w:cs="Century Schoolbook"/>
          <w:color w:val="0E101A"/>
        </w:rPr>
        <w:t>al city government officials anticipate an epidemic of chronic illnesses, the region is at risk of more individuals unable to pay for medical health insurance bills. Along with that comes work absences that impacts the region’s level of productivity. For t</w:t>
      </w:r>
      <w:r w:rsidRPr="00B15279">
        <w:rPr>
          <w:rFonts w:asciiTheme="majorHAnsi" w:eastAsia="Century Schoolbook" w:hAnsiTheme="majorHAnsi" w:cs="Century Schoolbook"/>
          <w:color w:val="0E101A"/>
        </w:rPr>
        <w:t xml:space="preserve">his reason, when individuals are unable to afford living in a neighborhood that is accessible to groceries, recreational parks, and sidewalks, their health is at risk and this becomes an equity concern for the state of California. Diabetes is an expensive </w:t>
      </w:r>
      <w:r w:rsidRPr="00B15279">
        <w:rPr>
          <w:rFonts w:asciiTheme="majorHAnsi" w:eastAsia="Century Schoolbook" w:hAnsiTheme="majorHAnsi" w:cs="Century Schoolbook"/>
          <w:color w:val="0E101A"/>
        </w:rPr>
        <w:t>cost not only for the individuals but for the state government of California. The government, however, could help metropolitan planning organizations such as SACOG by increasing the county focus on pedestrian walkability.</w:t>
      </w:r>
    </w:p>
    <w:p w14:paraId="0000006F"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lastRenderedPageBreak/>
        <w:t xml:space="preserve">Too few walkable neighborhoods mean individuals will continue to rely on their vehicles, which would hinder the government’s functioning role at providing quality public service goods such as access to clean air. As individuals have to choose driving as a </w:t>
      </w:r>
      <w:r w:rsidRPr="00B15279">
        <w:rPr>
          <w:rFonts w:asciiTheme="majorHAnsi" w:eastAsia="Century Schoolbook" w:hAnsiTheme="majorHAnsi" w:cs="Century Schoolbook"/>
          <w:color w:val="0E101A"/>
        </w:rPr>
        <w:t>primary mode of transportation for errands over walking, there will be additional costs not factored into driving such as the price society has to pay for air pollution emitted from vehicles, the time lost due to congestion, and noise levels. There is a pr</w:t>
      </w:r>
      <w:r w:rsidRPr="00B15279">
        <w:rPr>
          <w:rFonts w:asciiTheme="majorHAnsi" w:eastAsia="Century Schoolbook" w:hAnsiTheme="majorHAnsi" w:cs="Century Schoolbook"/>
          <w:color w:val="0E101A"/>
        </w:rPr>
        <w:t>ice to pay for individuals who can choose to live in walkable neighborhoods. Based on my preliminary research, home values increase when homes are identified as walkable. Essentially, individuals who are unable to afford walkable homes will have to move fu</w:t>
      </w:r>
      <w:r w:rsidRPr="00B15279">
        <w:rPr>
          <w:rFonts w:asciiTheme="majorHAnsi" w:eastAsia="Century Schoolbook" w:hAnsiTheme="majorHAnsi" w:cs="Century Schoolbook"/>
          <w:color w:val="0E101A"/>
        </w:rPr>
        <w:t>rther away from central locations where homes have lower value and individuals rely on vehicles.</w:t>
      </w:r>
    </w:p>
    <w:p w14:paraId="00000070"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SACOG’s regional plans show how the association is pursuing initiatives that promote walkability, however the limitation for SACOG is the inability to sponsor specific projects. The association can provide funding to local cities or counties to implement p</w:t>
      </w:r>
      <w:r w:rsidRPr="00B15279">
        <w:rPr>
          <w:rFonts w:asciiTheme="majorHAnsi" w:eastAsia="Century Schoolbook" w:hAnsiTheme="majorHAnsi" w:cs="Century Schoolbook"/>
          <w:color w:val="0E101A"/>
        </w:rPr>
        <w:t>rojects that could increase walkability. SACOG has the ability to influence local city land use and transportation planning through a funding application process. The process allows the local city governments to submit a project proposal, SACOG board membe</w:t>
      </w:r>
      <w:r w:rsidRPr="00B15279">
        <w:rPr>
          <w:rFonts w:asciiTheme="majorHAnsi" w:eastAsia="Century Schoolbook" w:hAnsiTheme="majorHAnsi" w:cs="Century Schoolbook"/>
          <w:color w:val="0E101A"/>
        </w:rPr>
        <w:t>rs review and select the proposals, and the local city governments to receive funding from SACOG. The association has established that maintaining healthy and sustainable communities is a value for the region, however, while SACOG has the ability to influe</w:t>
      </w:r>
      <w:r w:rsidRPr="00B15279">
        <w:rPr>
          <w:rFonts w:asciiTheme="majorHAnsi" w:eastAsia="Century Schoolbook" w:hAnsiTheme="majorHAnsi" w:cs="Century Schoolbook"/>
          <w:color w:val="0E101A"/>
        </w:rPr>
        <w:t xml:space="preserve">nce local city land use, it does not have the authority over local land use and whether cities are truly achieving regional goals established in the MTP/SCS plan. SACOG’s funding limitations means the board </w:t>
      </w:r>
      <w:r w:rsidRPr="00B15279">
        <w:rPr>
          <w:rFonts w:asciiTheme="majorHAnsi" w:eastAsia="Century Schoolbook" w:hAnsiTheme="majorHAnsi" w:cs="Century Schoolbook"/>
          <w:color w:val="0E101A"/>
        </w:rPr>
        <w:lastRenderedPageBreak/>
        <w:t>members have to decide which cities to fund. This</w:t>
      </w:r>
      <w:r w:rsidRPr="00B15279">
        <w:rPr>
          <w:rFonts w:asciiTheme="majorHAnsi" w:eastAsia="Century Schoolbook" w:hAnsiTheme="majorHAnsi" w:cs="Century Schoolbook"/>
          <w:color w:val="0E101A"/>
        </w:rPr>
        <w:t xml:space="preserve"> report offers value by informing SACOG of the best alternative to increasing walkable neighborhoods and other funding approaches to award recipients. </w:t>
      </w:r>
      <w:r w:rsidRPr="00B15279">
        <w:rPr>
          <w:rFonts w:asciiTheme="majorHAnsi" w:eastAsia="Century Schoolbook" w:hAnsiTheme="majorHAnsi" w:cs="Century Schoolbook"/>
        </w:rPr>
        <w:t>In the next section, I discuss the literature review and preliminary research and analysis.</w:t>
      </w:r>
    </w:p>
    <w:p w14:paraId="00000071" w14:textId="77777777" w:rsidR="00284308" w:rsidRPr="00B15279" w:rsidRDefault="00EE5CAD">
      <w:pPr>
        <w:spacing w:line="480" w:lineRule="auto"/>
        <w:ind w:firstLine="720"/>
        <w:rPr>
          <w:rFonts w:asciiTheme="majorHAnsi" w:eastAsia="Century Schoolbook" w:hAnsiTheme="majorHAnsi" w:cs="Century Schoolbook"/>
          <w:b/>
          <w:color w:val="000000" w:themeColor="text1"/>
        </w:rPr>
      </w:pPr>
      <w:r w:rsidRPr="00B15279">
        <w:rPr>
          <w:rFonts w:asciiTheme="majorHAnsi" w:eastAsia="Century Schoolbook" w:hAnsiTheme="majorHAnsi" w:cs="Century Schoolbook"/>
          <w:b/>
          <w:color w:val="000000" w:themeColor="text1"/>
        </w:rPr>
        <w:t>Step Two: Wha</w:t>
      </w:r>
      <w:r w:rsidRPr="00B15279">
        <w:rPr>
          <w:rFonts w:asciiTheme="majorHAnsi" w:eastAsia="Century Schoolbook" w:hAnsiTheme="majorHAnsi" w:cs="Century Schoolbook"/>
          <w:b/>
          <w:color w:val="000000" w:themeColor="text1"/>
        </w:rPr>
        <w:t>t the Research Has Shown and the Viable Alternatives</w:t>
      </w:r>
    </w:p>
    <w:p w14:paraId="00000072" w14:textId="77777777" w:rsidR="00284308" w:rsidRPr="00B15279" w:rsidRDefault="00EE5CAD">
      <w:pPr>
        <w:spacing w:line="480" w:lineRule="auto"/>
        <w:rPr>
          <w:rFonts w:asciiTheme="majorHAnsi" w:eastAsia="Century Schoolbook" w:hAnsiTheme="majorHAnsi" w:cs="Century Schoolbook"/>
          <w:b/>
          <w:i/>
          <w:color w:val="0E101A"/>
        </w:rPr>
      </w:pPr>
      <w:r w:rsidRPr="00B15279">
        <w:rPr>
          <w:rFonts w:asciiTheme="majorHAnsi" w:eastAsia="Century Schoolbook" w:hAnsiTheme="majorHAnsi" w:cs="Century Schoolbook"/>
          <w:b/>
          <w:i/>
          <w:color w:val="0E101A"/>
        </w:rPr>
        <w:t>Previous Research</w:t>
      </w:r>
    </w:p>
    <w:p w14:paraId="00000073" w14:textId="77777777" w:rsidR="00284308" w:rsidRPr="00B15279" w:rsidRDefault="00EE5CAD">
      <w:pP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Studies have shown that having walk-friendly streets can increase home values. One report explained that home values in the United States increased by 23.5 percent in walkable neighborh</w:t>
      </w:r>
      <w:r w:rsidRPr="00B15279">
        <w:rPr>
          <w:rFonts w:asciiTheme="majorHAnsi" w:eastAsia="Century Schoolbook" w:hAnsiTheme="majorHAnsi" w:cs="Century Schoolbook"/>
          <w:color w:val="0E101A"/>
        </w:rPr>
        <w:t xml:space="preserve">oods compared to homes in car-dependent locations, which suggests homes accessible to amenities are attractive to individuals (Katz, 2020). According to </w:t>
      </w:r>
      <w:proofErr w:type="spellStart"/>
      <w:r w:rsidRPr="00B15279">
        <w:rPr>
          <w:rFonts w:asciiTheme="majorHAnsi" w:eastAsia="Century Schoolbook" w:hAnsiTheme="majorHAnsi" w:cs="Century Schoolbook"/>
          <w:color w:val="0E101A"/>
        </w:rPr>
        <w:t>Rauterkus</w:t>
      </w:r>
      <w:proofErr w:type="spellEnd"/>
      <w:r w:rsidRPr="00B15279">
        <w:rPr>
          <w:rFonts w:asciiTheme="majorHAnsi" w:eastAsia="Century Schoolbook" w:hAnsiTheme="majorHAnsi" w:cs="Century Schoolbook"/>
          <w:color w:val="0E101A"/>
        </w:rPr>
        <w:t xml:space="preserve"> &amp; Miller (2011), population growth has been shown to drive up demand and developers have incr</w:t>
      </w:r>
      <w:r w:rsidRPr="00B15279">
        <w:rPr>
          <w:rFonts w:asciiTheme="majorHAnsi" w:eastAsia="Century Schoolbook" w:hAnsiTheme="majorHAnsi" w:cs="Century Schoolbook"/>
          <w:color w:val="0E101A"/>
        </w:rPr>
        <w:t>eased profit from land value by making smaller lot sizes. Homebuyers then move away from amenities for larger lots, where the price of property is lower. As a result, walkability is said to also have an impact on land value, especially for properties close</w:t>
      </w:r>
      <w:r w:rsidRPr="00B15279">
        <w:rPr>
          <w:rFonts w:asciiTheme="majorHAnsi" w:eastAsia="Century Schoolbook" w:hAnsiTheme="majorHAnsi" w:cs="Century Schoolbook"/>
          <w:color w:val="0E101A"/>
        </w:rPr>
        <w:t>r to central business districts, established communities, and universities.</w:t>
      </w:r>
    </w:p>
    <w:p w14:paraId="00000074" w14:textId="2A63471A" w:rsidR="00284308" w:rsidRPr="00B15279" w:rsidRDefault="00EE5CAD">
      <w:pPr>
        <w:spacing w:line="480" w:lineRule="auto"/>
        <w:ind w:firstLine="720"/>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 xml:space="preserve"> My preliminary research aimed to understand if the findings would be consistent to the research that home values are higher in walkable neighborhoods. In the analysis, I obtained </w:t>
      </w:r>
      <w:r w:rsidRPr="00B15279">
        <w:rPr>
          <w:rFonts w:asciiTheme="majorHAnsi" w:eastAsia="Century Schoolbook" w:hAnsiTheme="majorHAnsi" w:cs="Century Schoolbook"/>
          <w:color w:val="0E101A"/>
        </w:rPr>
        <w:t xml:space="preserve">the walk score value of homes using a walk score indicator from four out of the seven cities in Sacramento </w:t>
      </w:r>
      <w:r w:rsidR="00BF460D" w:rsidRPr="00B15279">
        <w:rPr>
          <w:rFonts w:asciiTheme="majorHAnsi" w:eastAsia="Century Schoolbook" w:hAnsiTheme="majorHAnsi" w:cs="Century Schoolbook"/>
          <w:color w:val="0E101A"/>
        </w:rPr>
        <w:t>C</w:t>
      </w:r>
      <w:r w:rsidRPr="00B15279">
        <w:rPr>
          <w:rFonts w:asciiTheme="majorHAnsi" w:eastAsia="Century Schoolbook" w:hAnsiTheme="majorHAnsi" w:cs="Century Schoolbook"/>
          <w:color w:val="0E101A"/>
        </w:rPr>
        <w:t>ounty, which totaled to 2,807 residential properties. I used Sacramento County’s Multiple Listing Survey data from 2013 as housing data to look at f</w:t>
      </w:r>
      <w:r w:rsidRPr="00B15279">
        <w:rPr>
          <w:rFonts w:asciiTheme="majorHAnsi" w:eastAsia="Century Schoolbook" w:hAnsiTheme="majorHAnsi" w:cs="Century Schoolbook"/>
          <w:color w:val="0E101A"/>
        </w:rPr>
        <w:t xml:space="preserve">actors that would impact selling price such as property characteristics, selling characteristics, and neighborhood characteristics. </w:t>
      </w:r>
      <w:r w:rsidRPr="00B15279">
        <w:rPr>
          <w:rFonts w:asciiTheme="majorHAnsi" w:eastAsia="Century Schoolbook" w:hAnsiTheme="majorHAnsi" w:cs="Century Schoolbook"/>
          <w:color w:val="0E101A"/>
        </w:rPr>
        <w:lastRenderedPageBreak/>
        <w:t>The walk score value was included as part of neighborhood characteristics where I controlled for differences between the cha</w:t>
      </w:r>
      <w:r w:rsidRPr="00B15279">
        <w:rPr>
          <w:rFonts w:asciiTheme="majorHAnsi" w:eastAsia="Century Schoolbook" w:hAnsiTheme="majorHAnsi" w:cs="Century Schoolbook"/>
          <w:color w:val="0E101A"/>
        </w:rPr>
        <w:t>racteristics.</w:t>
      </w:r>
    </w:p>
    <w:p w14:paraId="00000075" w14:textId="3DAB8112" w:rsidR="00284308" w:rsidRPr="00B15279" w:rsidRDefault="00EE5CAD">
      <w:pP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Based on the preliminary ordinary least square regression analysis, the log-linear functional form and linear-quadratic functional form models showed two interesting relationships between walk scores and selling values. The log-linear functio</w:t>
      </w:r>
      <w:r w:rsidRPr="00B15279">
        <w:rPr>
          <w:rFonts w:asciiTheme="majorHAnsi" w:eastAsia="Century Schoolbook" w:hAnsiTheme="majorHAnsi" w:cs="Century Schoolbook"/>
        </w:rPr>
        <w:t xml:space="preserve">nal form model showed that for every one-unit increase in walk score value, the value of the </w:t>
      </w:r>
      <w:r w:rsidRPr="00B15279">
        <w:rPr>
          <w:rFonts w:asciiTheme="majorHAnsi" w:eastAsia="Century Schoolbook" w:hAnsiTheme="majorHAnsi" w:cs="Century Schoolbook"/>
        </w:rPr>
        <w:t>selling home decreased -$0.00077 at a 99 percent confidence level. Instead of observing a positive relationship which would show an increase in home values as the</w:t>
      </w:r>
      <w:r w:rsidRPr="00B15279">
        <w:rPr>
          <w:rFonts w:asciiTheme="majorHAnsi" w:eastAsia="Century Schoolbook" w:hAnsiTheme="majorHAnsi" w:cs="Century Schoolbook"/>
        </w:rPr>
        <w:t xml:space="preserve"> walk score value increases by one-unit, the log-linear functional form showed a higher walk score correlated with a lowered selling value. On the other hand, the linear-quadratic functional form model showed </w:t>
      </w:r>
      <w:r w:rsidRPr="00B15279">
        <w:rPr>
          <w:rFonts w:asciiTheme="majorHAnsi" w:eastAsia="Century Schoolbook" w:hAnsiTheme="majorHAnsi" w:cs="Century Schoolbook"/>
          <w:color w:val="0E101A"/>
        </w:rPr>
        <w:t>that for every one-unit increase for walk score</w:t>
      </w:r>
      <w:r w:rsidRPr="00B15279">
        <w:rPr>
          <w:rFonts w:asciiTheme="majorHAnsi" w:eastAsia="Century Schoolbook" w:hAnsiTheme="majorHAnsi" w:cs="Century Schoolbook"/>
          <w:color w:val="0E101A"/>
        </w:rPr>
        <w:t xml:space="preserve">, the selling price increased by $501.09. This happened until the walk score reached a numerical value of 32 at a 99 percent confidence interval. </w:t>
      </w:r>
      <w:r w:rsidRPr="00B15279">
        <w:rPr>
          <w:rFonts w:asciiTheme="majorHAnsi" w:eastAsia="Century Schoolbook" w:hAnsiTheme="majorHAnsi" w:cs="Century Schoolbook"/>
        </w:rPr>
        <w:t>I also conducted a preliminary survey and interview protocol and found that although individuals perceived the</w:t>
      </w:r>
      <w:r w:rsidRPr="00B15279">
        <w:rPr>
          <w:rFonts w:asciiTheme="majorHAnsi" w:eastAsia="Century Schoolbook" w:hAnsiTheme="majorHAnsi" w:cs="Century Schoolbook"/>
        </w:rPr>
        <w:t xml:space="preserve"> benefits of homes with access to places to walk, choosing a home that was affordable was the deciding factor.</w:t>
      </w:r>
    </w:p>
    <w:p w14:paraId="00000076" w14:textId="77777777" w:rsidR="00284308" w:rsidRPr="00B15279" w:rsidRDefault="00EE5CAD">
      <w:pP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Although my analysis on the relationship between home values and walk scores are not representative of the entire SACOG region, the possible impl</w:t>
      </w:r>
      <w:r w:rsidRPr="00B15279">
        <w:rPr>
          <w:rFonts w:asciiTheme="majorHAnsi" w:eastAsia="Century Schoolbook" w:hAnsiTheme="majorHAnsi" w:cs="Century Schoolbook"/>
        </w:rPr>
        <w:t>ications based on the findings are that walkability as a public good may not be as accessible to all income brackets. The preliminary research showed that the Sacramento region should continue to improve streets that lack walkability.</w:t>
      </w:r>
    </w:p>
    <w:p w14:paraId="00000077" w14:textId="77777777" w:rsidR="00284308" w:rsidRPr="00B15279" w:rsidRDefault="00EE5CAD">
      <w:pPr>
        <w:spacing w:line="480" w:lineRule="auto"/>
        <w:ind w:firstLine="720"/>
        <w:rPr>
          <w:rFonts w:asciiTheme="majorHAnsi" w:eastAsia="Century Schoolbook" w:hAnsiTheme="majorHAnsi" w:cs="Century Schoolbook"/>
          <w:i/>
        </w:rPr>
      </w:pPr>
      <w:r w:rsidRPr="00B15279">
        <w:rPr>
          <w:rFonts w:asciiTheme="majorHAnsi" w:eastAsia="Century Schoolbook" w:hAnsiTheme="majorHAnsi" w:cs="Century Schoolbook"/>
          <w:color w:val="0E101A"/>
        </w:rPr>
        <w:t>As there continues to</w:t>
      </w:r>
      <w:r w:rsidRPr="00B15279">
        <w:rPr>
          <w:rFonts w:asciiTheme="majorHAnsi" w:eastAsia="Century Schoolbook" w:hAnsiTheme="majorHAnsi" w:cs="Century Schoolbook"/>
          <w:color w:val="0E101A"/>
        </w:rPr>
        <w:t xml:space="preserve"> be ongoing challenges to ensure everyone has access to clean air, places to socialize, and walk, other researchers have raised the question on </w:t>
      </w:r>
      <w:r w:rsidRPr="00B15279">
        <w:rPr>
          <w:rFonts w:asciiTheme="majorHAnsi" w:eastAsia="Century Schoolbook" w:hAnsiTheme="majorHAnsi" w:cs="Century Schoolbook"/>
          <w:color w:val="0E101A"/>
        </w:rPr>
        <w:lastRenderedPageBreak/>
        <w:t xml:space="preserve">whether walkability is inclusive. Riggs (2014) agreed with </w:t>
      </w:r>
      <w:proofErr w:type="spellStart"/>
      <w:r w:rsidRPr="00B15279">
        <w:rPr>
          <w:rFonts w:asciiTheme="majorHAnsi" w:eastAsia="Century Schoolbook" w:hAnsiTheme="majorHAnsi" w:cs="Century Schoolbook"/>
          <w:color w:val="0E101A"/>
        </w:rPr>
        <w:t>Gilderbloom</w:t>
      </w:r>
      <w:proofErr w:type="spellEnd"/>
      <w:r w:rsidRPr="00B15279">
        <w:rPr>
          <w:rFonts w:asciiTheme="majorHAnsi" w:eastAsia="Century Schoolbook" w:hAnsiTheme="majorHAnsi" w:cs="Century Schoolbook"/>
          <w:color w:val="0E101A"/>
        </w:rPr>
        <w:t xml:space="preserve"> et. al (2014), </w:t>
      </w:r>
      <w:proofErr w:type="spellStart"/>
      <w:r w:rsidRPr="00B15279">
        <w:rPr>
          <w:rFonts w:asciiTheme="majorHAnsi" w:eastAsia="Century Schoolbook" w:hAnsiTheme="majorHAnsi" w:cs="Century Schoolbook"/>
          <w:color w:val="0E101A"/>
        </w:rPr>
        <w:t>Rauterkus</w:t>
      </w:r>
      <w:proofErr w:type="spellEnd"/>
      <w:r w:rsidRPr="00B15279">
        <w:rPr>
          <w:rFonts w:asciiTheme="majorHAnsi" w:eastAsia="Century Schoolbook" w:hAnsiTheme="majorHAnsi" w:cs="Century Schoolbook"/>
          <w:color w:val="0E101A"/>
        </w:rPr>
        <w:t xml:space="preserve"> &amp; Miller (2011) </w:t>
      </w:r>
      <w:r w:rsidRPr="00B15279">
        <w:rPr>
          <w:rFonts w:asciiTheme="majorHAnsi" w:eastAsia="Century Schoolbook" w:hAnsiTheme="majorHAnsi" w:cs="Century Schoolbook"/>
          <w:color w:val="0E101A"/>
        </w:rPr>
        <w:t xml:space="preserve">and Pivo &amp; Fisher (2011) that walkability provides important social and economic resources to a neighborhood. Riggs (2014) conducted a study to evaluate the attributes of walkable neighborhoods in San Francisco. The study aimed to understand if low-income </w:t>
      </w:r>
      <w:r w:rsidRPr="00B15279">
        <w:rPr>
          <w:rFonts w:asciiTheme="majorHAnsi" w:eastAsia="Century Schoolbook" w:hAnsiTheme="majorHAnsi" w:cs="Century Schoolbook"/>
          <w:color w:val="0E101A"/>
        </w:rPr>
        <w:t>individuals and minority individuals face pressures to move to less walkable neighborhoods. The quantitative results showed that in neighborhoods with a higher Black population, house ownership was confined to mainly the suburbs, where there is less walkab</w:t>
      </w:r>
      <w:r w:rsidRPr="00B15279">
        <w:rPr>
          <w:rFonts w:asciiTheme="majorHAnsi" w:eastAsia="Century Schoolbook" w:hAnsiTheme="majorHAnsi" w:cs="Century Schoolbook"/>
          <w:color w:val="0E101A"/>
        </w:rPr>
        <w:t>ility. Based on the qualitative study, Riggs found that minority populations mainly moved to less walkable areas because of income, and social factors such as preference to live near friends and family, and housing characteristics influence their decisions</w:t>
      </w:r>
      <w:r w:rsidRPr="00B15279">
        <w:rPr>
          <w:rFonts w:asciiTheme="majorHAnsi" w:eastAsia="Century Schoolbook" w:hAnsiTheme="majorHAnsi" w:cs="Century Schoolbook"/>
          <w:color w:val="0E101A"/>
        </w:rPr>
        <w:t>.</w:t>
      </w:r>
      <w:r w:rsidRPr="00B15279">
        <w:rPr>
          <w:rFonts w:asciiTheme="majorHAnsi" w:eastAsia="Century Schoolbook" w:hAnsiTheme="majorHAnsi" w:cs="Century Schoolbook"/>
        </w:rPr>
        <w:t xml:space="preserve"> In the next section, I will discuss notable lessons and practices, which aimed to increase walkability and accessibility in the city of Seattle.</w:t>
      </w:r>
      <w:r w:rsidRPr="00EE5CAD">
        <w:rPr>
          <w:rFonts w:asciiTheme="majorHAnsi" w:hAnsiTheme="majorHAnsi"/>
          <w:noProof/>
        </w:rPr>
        <w:pict w14:anchorId="753B22F7">
          <v:rect id="_x0000_i1025" alt="" style="width:468pt;height:.05pt;mso-width-percent:0;mso-height-percent:0;mso-width-percent:0;mso-height-percent:0" o:hralign="center" o:hrstd="t" o:hr="t" fillcolor="#a0a0a0" stroked="f"/>
        </w:pict>
      </w:r>
      <w:r w:rsidRPr="00B15279">
        <w:rPr>
          <w:rFonts w:asciiTheme="majorHAnsi" w:eastAsia="Century Schoolbook" w:hAnsiTheme="majorHAnsi" w:cs="Century Schoolbook"/>
          <w:b/>
          <w:i/>
        </w:rPr>
        <w:t>Viable Alternatives to Increase Walkability</w:t>
      </w:r>
    </w:p>
    <w:p w14:paraId="00000078" w14:textId="77777777" w:rsidR="00284308" w:rsidRPr="00B15279" w:rsidRDefault="00EE5CAD">
      <w:pP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 xml:space="preserve">This section explored notable practices used to increase walkability in the City of Seattle such as the creation of a pedestrian blueprint plan with performance measures and the leverage of resources using a data-driven approach. The Seattle Department of </w:t>
      </w:r>
      <w:r w:rsidRPr="00B15279">
        <w:rPr>
          <w:rFonts w:asciiTheme="majorHAnsi" w:eastAsia="Century Schoolbook" w:hAnsiTheme="majorHAnsi" w:cs="Century Schoolbook"/>
        </w:rPr>
        <w:t>Transportation (SDOT) created the Seattle Pedestrian Master Plan (PMP), a 20-year blueprint to make Seattle the most accessible and walkable city in the United States. Seattle’s PMP goals are relevant because the plan encompassed walkability strategies fro</w:t>
      </w:r>
      <w:r w:rsidRPr="00B15279">
        <w:rPr>
          <w:rFonts w:asciiTheme="majorHAnsi" w:eastAsia="Century Schoolbook" w:hAnsiTheme="majorHAnsi" w:cs="Century Schoolbook"/>
        </w:rPr>
        <w:t xml:space="preserve">m cities such as New York, San Francisco, Boston, Philadelphia, Chicago, Sydney, and Vancouver (PMP Update July 2015). PMP was built </w:t>
      </w:r>
      <w:r w:rsidRPr="00B15279">
        <w:rPr>
          <w:rFonts w:asciiTheme="majorHAnsi" w:eastAsia="Century Schoolbook" w:hAnsiTheme="majorHAnsi" w:cs="Century Schoolbook"/>
        </w:rPr>
        <w:lastRenderedPageBreak/>
        <w:t>on SDOT’s vision to increase walkability by incorporating existing city goals and resources for a strategic and comprehensi</w:t>
      </w:r>
      <w:r w:rsidRPr="00B15279">
        <w:rPr>
          <w:rFonts w:asciiTheme="majorHAnsi" w:eastAsia="Century Schoolbook" w:hAnsiTheme="majorHAnsi" w:cs="Century Schoolbook"/>
        </w:rPr>
        <w:t xml:space="preserve">ve plan. SDOT’s goals focus on safety, equity, vibrancy and health. Safety means the reduction in number and severity of crashes involving pedestrians. Equity is viewed as the approach to create a walkable city through public engagement, service delivery, </w:t>
      </w:r>
      <w:r w:rsidRPr="00B15279">
        <w:rPr>
          <w:rFonts w:asciiTheme="majorHAnsi" w:eastAsia="Century Schoolbook" w:hAnsiTheme="majorHAnsi" w:cs="Century Schoolbook"/>
        </w:rPr>
        <w:t>capital investments, and accessibility. The goal to make Seattle vibrant means a connected pedestrian environment that sustains healthy communities and supports a vibrant community. The last goal focuses on health, which aims to improve health and increase</w:t>
      </w:r>
      <w:r w:rsidRPr="00B15279">
        <w:rPr>
          <w:rFonts w:asciiTheme="majorHAnsi" w:eastAsia="Century Schoolbook" w:hAnsiTheme="majorHAnsi" w:cs="Century Schoolbook"/>
        </w:rPr>
        <w:t xml:space="preserve"> mobility. The city of Seattle has identified natural and artificially built environment barriers that need improvement for people with disabilities, older residents, and children. Along with the goals, the PMP used a data driven approach to identify place</w:t>
      </w:r>
      <w:r w:rsidRPr="00B15279">
        <w:rPr>
          <w:rFonts w:asciiTheme="majorHAnsi" w:eastAsia="Century Schoolbook" w:hAnsiTheme="majorHAnsi" w:cs="Century Schoolbook"/>
        </w:rPr>
        <w:t>s where people walk, locations that served the most people in need, and streets with high pedestrian and motor vehicle traffic. To prioritize pedestrian-friendly projects and make it a sustainable practice for SACOG, the organization could consider a strat</w:t>
      </w:r>
      <w:r w:rsidRPr="00B15279">
        <w:rPr>
          <w:rFonts w:asciiTheme="majorHAnsi" w:eastAsia="Century Schoolbook" w:hAnsiTheme="majorHAnsi" w:cs="Century Schoolbook"/>
        </w:rPr>
        <w:t xml:space="preserve">egic plan that works as a PMP to identify and leverage existing planning efforts and funding to help streamline local city coordination efforts. </w:t>
      </w:r>
    </w:p>
    <w:p w14:paraId="00000079" w14:textId="77777777" w:rsidR="00284308" w:rsidRPr="00B15279" w:rsidRDefault="00EE5CAD">
      <w:pP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The city of Seattle found that the strategies to fund and meet the PMP’s goals included leveraging existing ci</w:t>
      </w:r>
      <w:r w:rsidRPr="00B15279">
        <w:rPr>
          <w:rFonts w:asciiTheme="majorHAnsi" w:eastAsia="Century Schoolbook" w:hAnsiTheme="majorHAnsi" w:cs="Century Schoolbook"/>
        </w:rPr>
        <w:t>ty resources and expertise. One of the important strategies to increasing walkability in Seattle was by developing performance measures that built on existing and new plans. The PMP consisted of Seattle’s Comprehensive 2035 plan, which included Seattle’s b</w:t>
      </w:r>
      <w:r w:rsidRPr="00B15279">
        <w:rPr>
          <w:rFonts w:asciiTheme="majorHAnsi" w:eastAsia="Century Schoolbook" w:hAnsiTheme="majorHAnsi" w:cs="Century Schoolbook"/>
        </w:rPr>
        <w:t xml:space="preserve">road goals and location of job growth. Other regional plans include Move Seattle, Modal Master Plan which includes a transit master plan, Vision Zero, and the Climate Action Plan. The Complete Streets </w:t>
      </w:r>
      <w:r w:rsidRPr="00B15279">
        <w:rPr>
          <w:rFonts w:asciiTheme="majorHAnsi" w:eastAsia="Century Schoolbook" w:hAnsiTheme="majorHAnsi" w:cs="Century Schoolbook"/>
        </w:rPr>
        <w:lastRenderedPageBreak/>
        <w:t>Policy is implemented into PMP through a form of a chec</w:t>
      </w:r>
      <w:r w:rsidRPr="00B15279">
        <w:rPr>
          <w:rFonts w:asciiTheme="majorHAnsi" w:eastAsia="Century Schoolbook" w:hAnsiTheme="majorHAnsi" w:cs="Century Schoolbook"/>
        </w:rPr>
        <w:t>klist. The Right of Way Improvement manual was included in PMP to provide design guidance to property owners, developers and architects to address access and mobility needs of everyone who uses the right of way. Currently, SACOG has regional plans that inc</w:t>
      </w:r>
      <w:r w:rsidRPr="00B15279">
        <w:rPr>
          <w:rFonts w:asciiTheme="majorHAnsi" w:eastAsia="Century Schoolbook" w:hAnsiTheme="majorHAnsi" w:cs="Century Schoolbook"/>
        </w:rPr>
        <w:t xml:space="preserve">orporate strategies to increase neighborhood walkability. However, developing a pedestrian blueprint with a framework would help inform local cities and partners. </w:t>
      </w:r>
    </w:p>
    <w:p w14:paraId="0000007A" w14:textId="77777777" w:rsidR="00284308" w:rsidRPr="00B15279" w:rsidRDefault="00EE5CAD">
      <w:pPr>
        <w:spacing w:line="480" w:lineRule="auto"/>
        <w:ind w:right="140" w:firstLine="720"/>
        <w:rPr>
          <w:rFonts w:asciiTheme="majorHAnsi" w:eastAsia="Century Schoolbook" w:hAnsiTheme="majorHAnsi" w:cs="Century Schoolbook"/>
        </w:rPr>
      </w:pPr>
      <w:r w:rsidRPr="00B15279">
        <w:rPr>
          <w:rFonts w:asciiTheme="majorHAnsi" w:eastAsia="Century Schoolbook" w:hAnsiTheme="majorHAnsi" w:cs="Century Schoolbook"/>
        </w:rPr>
        <w:t>A strategic PMP could serve to evaluate available funding resources from all entities, which</w:t>
      </w:r>
      <w:r w:rsidRPr="00B15279">
        <w:rPr>
          <w:rFonts w:asciiTheme="majorHAnsi" w:eastAsia="Century Schoolbook" w:hAnsiTheme="majorHAnsi" w:cs="Century Schoolbook"/>
        </w:rPr>
        <w:t xml:space="preserve"> would streamline and maximize the benefit of projects. The city of Seattle created an asset and management database, which identified organizations that followed the PMP’s prioritization framework, or worked independently to increase walkability. Programs</w:t>
      </w:r>
      <w:r w:rsidRPr="00B15279">
        <w:rPr>
          <w:rFonts w:asciiTheme="majorHAnsi" w:eastAsia="Century Schoolbook" w:hAnsiTheme="majorHAnsi" w:cs="Century Schoolbook"/>
        </w:rPr>
        <w:t xml:space="preserve"> in Seattle that are funded independently, but rely on PMP to increase walkability through pedestrian safety and infrastructure include Safe Routes to School (SRTS), Vision Zero, and the Neighborhood Greenways Program. The City of Seattle evaluated project</w:t>
      </w:r>
      <w:r w:rsidRPr="00B15279">
        <w:rPr>
          <w:rFonts w:asciiTheme="majorHAnsi" w:eastAsia="Century Schoolbook" w:hAnsiTheme="majorHAnsi" w:cs="Century Schoolbook"/>
        </w:rPr>
        <w:t xml:space="preserve">s against PMP and all public and private efforts for pedestrian projects. As identified in the image below, projects guided by PMP are marked solid and projects independent of PMP are indicated with a dash. </w:t>
      </w:r>
    </w:p>
    <w:p w14:paraId="0000007B" w14:textId="77777777" w:rsidR="00284308" w:rsidRPr="00B15279" w:rsidRDefault="00EE5CAD">
      <w:pPr>
        <w:spacing w:line="480" w:lineRule="auto"/>
        <w:ind w:right="140" w:firstLine="720"/>
        <w:rPr>
          <w:rFonts w:asciiTheme="majorHAnsi" w:eastAsia="Century Schoolbook" w:hAnsiTheme="majorHAnsi" w:cs="Century Schoolbook"/>
          <w:b/>
        </w:rPr>
      </w:pPr>
      <w:r w:rsidRPr="00B15279">
        <w:rPr>
          <w:rFonts w:asciiTheme="majorHAnsi" w:eastAsia="Century Schoolbook" w:hAnsiTheme="majorHAnsi" w:cs="Century Schoolbook"/>
          <w:b/>
        </w:rPr>
        <w:lastRenderedPageBreak/>
        <w:t xml:space="preserve">Table 5: How the City of Seattle Has Identified </w:t>
      </w:r>
      <w:r w:rsidRPr="00B15279">
        <w:rPr>
          <w:rFonts w:asciiTheme="majorHAnsi" w:eastAsia="Century Schoolbook" w:hAnsiTheme="majorHAnsi" w:cs="Century Schoolbook"/>
          <w:b/>
        </w:rPr>
        <w:t xml:space="preserve">Projects </w:t>
      </w:r>
      <w:r w:rsidRPr="00B15279">
        <w:rPr>
          <w:rFonts w:asciiTheme="majorHAnsi" w:hAnsiTheme="majorHAnsi"/>
          <w:noProof/>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346241</wp:posOffset>
            </wp:positionV>
            <wp:extent cx="5724939" cy="2568271"/>
            <wp:effectExtent l="0" t="0" r="0" b="0"/>
            <wp:wrapSquare wrapText="bothSides" distT="0" distB="0" distL="114300" distR="114300"/>
            <wp:docPr id="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24939" cy="2568271"/>
                    </a:xfrm>
                    <a:prstGeom prst="rect">
                      <a:avLst/>
                    </a:prstGeom>
                    <a:ln/>
                  </pic:spPr>
                </pic:pic>
              </a:graphicData>
            </a:graphic>
          </wp:anchor>
        </w:drawing>
      </w:r>
    </w:p>
    <w:p w14:paraId="0000007C" w14:textId="77777777" w:rsidR="00284308" w:rsidRPr="00B15279" w:rsidRDefault="00EE5CAD">
      <w:pPr>
        <w:spacing w:line="480" w:lineRule="auto"/>
        <w:rPr>
          <w:rFonts w:asciiTheme="majorHAnsi" w:eastAsia="Century Schoolbook" w:hAnsiTheme="majorHAnsi" w:cs="Century Schoolbook"/>
        </w:rPr>
      </w:pPr>
      <w:r w:rsidRPr="00B15279">
        <w:rPr>
          <w:rFonts w:asciiTheme="majorHAnsi" w:eastAsia="Century Schoolbook" w:hAnsiTheme="majorHAnsi" w:cs="Century Schoolbook"/>
        </w:rPr>
        <w:t>Source: (Seattle Department of Transportation City of Seattle Pedestrian Master Plan, 2017)</w:t>
      </w:r>
    </w:p>
    <w:p w14:paraId="0000007D" w14:textId="77777777" w:rsidR="00284308" w:rsidRPr="00B15279" w:rsidRDefault="00EE5CAD">
      <w:pPr>
        <w:spacing w:line="480" w:lineRule="auto"/>
        <w:rPr>
          <w:rFonts w:asciiTheme="majorHAnsi" w:eastAsia="Century Schoolbook" w:hAnsiTheme="majorHAnsi" w:cs="Century Schoolbook"/>
          <w:b/>
        </w:rPr>
      </w:pPr>
      <w:r w:rsidRPr="00B15279">
        <w:rPr>
          <w:rFonts w:asciiTheme="majorHAnsi" w:eastAsia="Century Schoolbook" w:hAnsiTheme="majorHAnsi" w:cs="Century Schoolbook"/>
        </w:rPr>
        <w:t xml:space="preserve">SACOG could create a PMP with performance measures that are similar to the one implemented by the city of Seattle. </w:t>
      </w:r>
    </w:p>
    <w:p w14:paraId="0000007E" w14:textId="77777777" w:rsidR="00284308" w:rsidRPr="00B15279" w:rsidRDefault="00EE5CAD">
      <w:pPr>
        <w:spacing w:line="480" w:lineRule="auto"/>
        <w:ind w:firstLine="720"/>
        <w:rPr>
          <w:rFonts w:asciiTheme="majorHAnsi" w:eastAsia="Century Schoolbook" w:hAnsiTheme="majorHAnsi" w:cs="Century Schoolbook"/>
          <w:b/>
          <w:color w:val="000000" w:themeColor="text1"/>
        </w:rPr>
      </w:pPr>
      <w:r w:rsidRPr="00B15279">
        <w:rPr>
          <w:rFonts w:asciiTheme="majorHAnsi" w:eastAsia="Century Schoolbook" w:hAnsiTheme="majorHAnsi" w:cs="Century Schoolbook"/>
          <w:b/>
          <w:color w:val="000000" w:themeColor="text1"/>
        </w:rPr>
        <w:t xml:space="preserve">Step Three: Criteria to Evaluate the </w:t>
      </w:r>
      <w:r w:rsidRPr="00B15279">
        <w:rPr>
          <w:rFonts w:asciiTheme="majorHAnsi" w:eastAsia="Century Schoolbook" w:hAnsiTheme="majorHAnsi" w:cs="Century Schoolbook"/>
          <w:b/>
          <w:color w:val="000000" w:themeColor="text1"/>
        </w:rPr>
        <w:t xml:space="preserve">Alternatives </w:t>
      </w:r>
    </w:p>
    <w:p w14:paraId="0000007F"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Before I discuss each of the recommended alternatives, this section defined each of the criteria used to explain my final recommendation, which includes equity, political acceptability, administrative acceptability, and cost-efficiency. As di</w:t>
      </w:r>
      <w:r w:rsidRPr="00B15279">
        <w:rPr>
          <w:rFonts w:asciiTheme="majorHAnsi" w:eastAsia="Century Schoolbook" w:hAnsiTheme="majorHAnsi" w:cs="Century Schoolbook"/>
        </w:rPr>
        <w:t>scussed earlier, when it comes to the lack of walkability in the Sacramento region and the individuals who are unable to access pedestrian-friendly streets, the final recommendation will be based on the alternative that is equitable for our case study exam</w:t>
      </w:r>
      <w:r w:rsidRPr="00B15279">
        <w:rPr>
          <w:rFonts w:asciiTheme="majorHAnsi" w:eastAsia="Century Schoolbook" w:hAnsiTheme="majorHAnsi" w:cs="Century Schoolbook"/>
        </w:rPr>
        <w:t xml:space="preserve">ple, Franklin Blvd. </w:t>
      </w:r>
    </w:p>
    <w:p w14:paraId="00000080"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b/>
          <w:i/>
        </w:rPr>
      </w:pPr>
      <w:r w:rsidRPr="00B15279">
        <w:rPr>
          <w:rFonts w:asciiTheme="majorHAnsi" w:eastAsia="Century Schoolbook" w:hAnsiTheme="majorHAnsi" w:cs="Century Schoolbook"/>
          <w:b/>
          <w:i/>
        </w:rPr>
        <w:t>Equity</w:t>
      </w:r>
    </w:p>
    <w:p w14:paraId="00000081"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 xml:space="preserve">To ensure that projects will benefit low-income and people of color is currently a concern and an ongoing challenge for the region when considering the </w:t>
      </w:r>
      <w:r w:rsidRPr="00B15279">
        <w:rPr>
          <w:rFonts w:asciiTheme="majorHAnsi" w:eastAsia="Century Schoolbook" w:hAnsiTheme="majorHAnsi" w:cs="Century Schoolbook"/>
        </w:rPr>
        <w:t xml:space="preserve">impact of </w:t>
      </w:r>
      <w:r w:rsidRPr="00B15279">
        <w:rPr>
          <w:rFonts w:asciiTheme="majorHAnsi" w:eastAsia="Century Schoolbook" w:hAnsiTheme="majorHAnsi" w:cs="Century Schoolbook"/>
        </w:rPr>
        <w:lastRenderedPageBreak/>
        <w:t xml:space="preserve">projects on communities of color. Understanding whether the alternative is equitable is important because projects that aim to increase walkability should increase access to cleaner air, a healthier lifestyle and promote safe and thriving cities </w:t>
      </w:r>
      <w:r w:rsidRPr="00B15279">
        <w:rPr>
          <w:rFonts w:asciiTheme="majorHAnsi" w:eastAsia="Century Schoolbook" w:hAnsiTheme="majorHAnsi" w:cs="Century Schoolbook"/>
        </w:rPr>
        <w:t>in the long term. Neighborhoods in the Sacramento region that are car-dependent and less walkable overlap with areas where lower income individuals live. Increasing walkability in the Sacramento region will have to be inclusive to communities of color, dis</w:t>
      </w:r>
      <w:r w:rsidRPr="00B15279">
        <w:rPr>
          <w:rFonts w:asciiTheme="majorHAnsi" w:eastAsia="Century Schoolbook" w:hAnsiTheme="majorHAnsi" w:cs="Century Schoolbook"/>
        </w:rPr>
        <w:t xml:space="preserve">advantaged communities as well as people’s abilities. </w:t>
      </w:r>
    </w:p>
    <w:p w14:paraId="00000082"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b/>
          <w:i/>
        </w:rPr>
      </w:pPr>
      <w:r w:rsidRPr="00B15279">
        <w:rPr>
          <w:rFonts w:asciiTheme="majorHAnsi" w:eastAsia="Century Schoolbook" w:hAnsiTheme="majorHAnsi" w:cs="Century Schoolbook"/>
          <w:b/>
          <w:i/>
        </w:rPr>
        <w:t xml:space="preserve">Political Acceptability </w:t>
      </w:r>
    </w:p>
    <w:p w14:paraId="00000083"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rPr>
      </w:pPr>
      <w:r w:rsidRPr="00B15279">
        <w:rPr>
          <w:rFonts w:asciiTheme="majorHAnsi" w:eastAsia="Century Schoolbook" w:hAnsiTheme="majorHAnsi" w:cs="Century Schoolbook"/>
          <w:b/>
        </w:rPr>
        <w:tab/>
      </w:r>
      <w:r w:rsidRPr="00B15279">
        <w:rPr>
          <w:rFonts w:asciiTheme="majorHAnsi" w:eastAsia="Century Schoolbook" w:hAnsiTheme="majorHAnsi" w:cs="Century Schoolbook"/>
        </w:rPr>
        <w:t xml:space="preserve">Eugene </w:t>
      </w:r>
      <w:proofErr w:type="spellStart"/>
      <w:r w:rsidRPr="00B15279">
        <w:rPr>
          <w:rFonts w:asciiTheme="majorHAnsi" w:eastAsia="Century Schoolbook" w:hAnsiTheme="majorHAnsi" w:cs="Century Schoolbook"/>
        </w:rPr>
        <w:t>Bardach</w:t>
      </w:r>
      <w:proofErr w:type="spellEnd"/>
      <w:r w:rsidRPr="00B15279">
        <w:rPr>
          <w:rFonts w:asciiTheme="majorHAnsi" w:eastAsia="Century Schoolbook" w:hAnsiTheme="majorHAnsi" w:cs="Century Schoolbook"/>
        </w:rPr>
        <w:t xml:space="preserve"> explained that political acceptability is an alternative that is not unacceptable (</w:t>
      </w:r>
      <w:proofErr w:type="spellStart"/>
      <w:r w:rsidRPr="00B15279">
        <w:rPr>
          <w:rFonts w:asciiTheme="majorHAnsi" w:eastAsia="Century Schoolbook" w:hAnsiTheme="majorHAnsi" w:cs="Century Schoolbook"/>
        </w:rPr>
        <w:t>Bardach</w:t>
      </w:r>
      <w:proofErr w:type="spellEnd"/>
      <w:r w:rsidRPr="00B15279">
        <w:rPr>
          <w:rFonts w:asciiTheme="majorHAnsi" w:eastAsia="Century Schoolbook" w:hAnsiTheme="majorHAnsi" w:cs="Century Schoolbook"/>
        </w:rPr>
        <w:t xml:space="preserve">, 2012). As described by </w:t>
      </w:r>
      <w:proofErr w:type="spellStart"/>
      <w:r w:rsidRPr="00B15279">
        <w:rPr>
          <w:rFonts w:asciiTheme="majorHAnsi" w:eastAsia="Century Schoolbook" w:hAnsiTheme="majorHAnsi" w:cs="Century Schoolbook"/>
        </w:rPr>
        <w:t>Bardach</w:t>
      </w:r>
      <w:proofErr w:type="spellEnd"/>
      <w:r w:rsidRPr="00B15279">
        <w:rPr>
          <w:rFonts w:asciiTheme="majorHAnsi" w:eastAsia="Century Schoolbook" w:hAnsiTheme="majorHAnsi" w:cs="Century Schoolbook"/>
        </w:rPr>
        <w:t>, political unacceptability could eith</w:t>
      </w:r>
      <w:r w:rsidRPr="00B15279">
        <w:rPr>
          <w:rFonts w:asciiTheme="majorHAnsi" w:eastAsia="Century Schoolbook" w:hAnsiTheme="majorHAnsi" w:cs="Century Schoolbook"/>
        </w:rPr>
        <w:t>er mean there is too much opposition, or too little support. As described in this report, increasing walkability is a part of SACOG’s strategy to reduce GHG emissions and the state of California’s goal to address the growing health disparities. Thus, the a</w:t>
      </w:r>
      <w:r w:rsidRPr="00B15279">
        <w:rPr>
          <w:rFonts w:asciiTheme="majorHAnsi" w:eastAsia="Century Schoolbook" w:hAnsiTheme="majorHAnsi" w:cs="Century Schoolbook"/>
        </w:rPr>
        <w:t>lternatives should be politically acceptable to SACOG.</w:t>
      </w:r>
    </w:p>
    <w:p w14:paraId="00000084"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b/>
          <w:i/>
        </w:rPr>
      </w:pPr>
      <w:r w:rsidRPr="00B15279">
        <w:rPr>
          <w:rFonts w:asciiTheme="majorHAnsi" w:eastAsia="Century Schoolbook" w:hAnsiTheme="majorHAnsi" w:cs="Century Schoolbook"/>
          <w:b/>
          <w:i/>
        </w:rPr>
        <w:t>Administrative Acceptability</w:t>
      </w:r>
    </w:p>
    <w:p w14:paraId="00000085"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Similar to the criteria discussed above, administrative acceptability means the alternative would need to be feasible for SACOG. SACOG’s Board of Directors has the ability to award funding to cities that meet the grant application criteria. As a result, th</w:t>
      </w:r>
      <w:r w:rsidRPr="00B15279">
        <w:rPr>
          <w:rFonts w:asciiTheme="majorHAnsi" w:eastAsia="Century Schoolbook" w:hAnsiTheme="majorHAnsi" w:cs="Century Schoolbook"/>
        </w:rPr>
        <w:t>e alternative should be acceptable to the current priorities and grant application guidelines set by SACOG’s Board of Directors.</w:t>
      </w:r>
    </w:p>
    <w:p w14:paraId="00000086"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b/>
          <w:i/>
        </w:rPr>
      </w:pPr>
      <w:r w:rsidRPr="00B15279">
        <w:rPr>
          <w:rFonts w:asciiTheme="majorHAnsi" w:eastAsia="Century Schoolbook" w:hAnsiTheme="majorHAnsi" w:cs="Century Schoolbook"/>
          <w:b/>
          <w:i/>
        </w:rPr>
        <w:t xml:space="preserve">Cost Efficiency </w:t>
      </w:r>
    </w:p>
    <w:p w14:paraId="00000087"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rPr>
      </w:pPr>
      <w:r w:rsidRPr="00B15279">
        <w:rPr>
          <w:rFonts w:asciiTheme="majorHAnsi" w:eastAsia="Century Schoolbook" w:hAnsiTheme="majorHAnsi" w:cs="Century Schoolbook"/>
          <w:b/>
        </w:rPr>
        <w:lastRenderedPageBreak/>
        <w:tab/>
      </w:r>
      <w:r w:rsidRPr="00B15279">
        <w:rPr>
          <w:rFonts w:asciiTheme="majorHAnsi" w:eastAsia="Century Schoolbook" w:hAnsiTheme="majorHAnsi" w:cs="Century Schoolbook"/>
        </w:rPr>
        <w:t xml:space="preserve">According to </w:t>
      </w:r>
      <w:proofErr w:type="spellStart"/>
      <w:r w:rsidRPr="00B15279">
        <w:rPr>
          <w:rFonts w:asciiTheme="majorHAnsi" w:eastAsia="Century Schoolbook" w:hAnsiTheme="majorHAnsi" w:cs="Century Schoolbook"/>
        </w:rPr>
        <w:t>Bardach</w:t>
      </w:r>
      <w:proofErr w:type="spellEnd"/>
      <w:r w:rsidRPr="00B15279">
        <w:rPr>
          <w:rFonts w:asciiTheme="majorHAnsi" w:eastAsia="Century Schoolbook" w:hAnsiTheme="majorHAnsi" w:cs="Century Schoolbook"/>
        </w:rPr>
        <w:t>, cost-effectiveness is assessing the nature and quantity of the desired output. The alte</w:t>
      </w:r>
      <w:r w:rsidRPr="00B15279">
        <w:rPr>
          <w:rFonts w:asciiTheme="majorHAnsi" w:eastAsia="Century Schoolbook" w:hAnsiTheme="majorHAnsi" w:cs="Century Schoolbook"/>
        </w:rPr>
        <w:t>rnative should increase walkability with the fixed resources such as funding and SACOG’s capacity to improve cost-efficiency.</w:t>
      </w:r>
    </w:p>
    <w:p w14:paraId="00000088"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b/>
          <w:i/>
          <w:color w:val="000000" w:themeColor="text1"/>
        </w:rPr>
      </w:pPr>
      <w:r w:rsidRPr="00B15279">
        <w:rPr>
          <w:rFonts w:asciiTheme="majorHAnsi" w:eastAsia="Century Schoolbook" w:hAnsiTheme="majorHAnsi" w:cs="Century Schoolbook"/>
          <w:b/>
          <w:color w:val="000000" w:themeColor="text1"/>
        </w:rPr>
        <w:t>Step Four: Assess the Outcomes of Policy Options Using Criteria</w:t>
      </w:r>
    </w:p>
    <w:p w14:paraId="00000089"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b/>
          <w:i/>
        </w:rPr>
      </w:pPr>
      <w:r w:rsidRPr="00B15279">
        <w:rPr>
          <w:rFonts w:asciiTheme="majorHAnsi" w:eastAsia="Century Schoolbook" w:hAnsiTheme="majorHAnsi" w:cs="Century Schoolbook"/>
          <w:b/>
          <w:i/>
        </w:rPr>
        <w:t>Improve Pedestrian Safety on Crosswalks</w:t>
      </w:r>
    </w:p>
    <w:p w14:paraId="0000008A"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A built environment that i</w:t>
      </w:r>
      <w:r w:rsidRPr="00B15279">
        <w:rPr>
          <w:rFonts w:asciiTheme="majorHAnsi" w:eastAsia="Century Schoolbook" w:hAnsiTheme="majorHAnsi" w:cs="Century Schoolbook"/>
        </w:rPr>
        <w:t xml:space="preserve">mproves pedestrian safety while on crosswalks will help to encourage people’s confidence to walk. An interview with an individual from the non-profit, </w:t>
      </w:r>
      <w:r w:rsidRPr="00B15279">
        <w:rPr>
          <w:rFonts w:asciiTheme="majorHAnsi" w:eastAsia="Century Schoolbook" w:hAnsiTheme="majorHAnsi" w:cs="Century Schoolbook"/>
          <w:i/>
        </w:rPr>
        <w:t>Walk Sacramento</w:t>
      </w:r>
      <w:r w:rsidRPr="00B15279">
        <w:rPr>
          <w:rFonts w:asciiTheme="majorHAnsi" w:eastAsia="Century Schoolbook" w:hAnsiTheme="majorHAnsi" w:cs="Century Schoolbook"/>
        </w:rPr>
        <w:t xml:space="preserve"> reported that in surveys, residents of the city of Sacramento and Sacramento County ident</w:t>
      </w:r>
      <w:r w:rsidRPr="00B15279">
        <w:rPr>
          <w:rFonts w:asciiTheme="majorHAnsi" w:eastAsia="Century Schoolbook" w:hAnsiTheme="majorHAnsi" w:cs="Century Schoolbook"/>
        </w:rPr>
        <w:t xml:space="preserve">ified high speed and high-volume roadways as unsafe obstacles for walking (Brown, 2021). Safety is a concern for individuals because pedestrians who cross busy streets where vehicles are traveling at higher speed limits are at risk of severe injuries from </w:t>
      </w:r>
      <w:r w:rsidRPr="00B15279">
        <w:rPr>
          <w:rFonts w:asciiTheme="majorHAnsi" w:eastAsia="Century Schoolbook" w:hAnsiTheme="majorHAnsi" w:cs="Century Schoolbook"/>
        </w:rPr>
        <w:t>crashes. Standardized plans have been designed in a way that assumes individuals are adult and able-bodied, yet designs can change to encourage safety for everyone. Plans for walkability should include the safety of people of all ages, people with impairme</w:t>
      </w:r>
      <w:r w:rsidRPr="00B15279">
        <w:rPr>
          <w:rFonts w:asciiTheme="majorHAnsi" w:eastAsia="Century Schoolbook" w:hAnsiTheme="majorHAnsi" w:cs="Century Schoolbook"/>
        </w:rPr>
        <w:t xml:space="preserve">nts, and the elderly. </w:t>
      </w:r>
    </w:p>
    <w:p w14:paraId="0000008B"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Current practices to improve crosswalks can be done through multiple strategies such as providing pedestrians time to cross and ensuring that pedestrians are visible to drivers. Changing the built environment to include refuge island</w:t>
      </w:r>
      <w:r w:rsidRPr="00B15279">
        <w:rPr>
          <w:rFonts w:asciiTheme="majorHAnsi" w:eastAsia="Century Schoolbook" w:hAnsiTheme="majorHAnsi" w:cs="Century Schoolbook"/>
        </w:rPr>
        <w:t>s on the center of roadways can make walking safer for pedestrians. Refuge islands shorten the crossing distance for pedestrians, serve as a barrier from vehicles, and allow pedestrians to be more visible. Practices found that extending the time to cross c</w:t>
      </w:r>
      <w:r w:rsidRPr="00B15279">
        <w:rPr>
          <w:rFonts w:asciiTheme="majorHAnsi" w:eastAsia="Century Schoolbook" w:hAnsiTheme="majorHAnsi" w:cs="Century Schoolbook"/>
        </w:rPr>
        <w:t xml:space="preserve">an allow pedestrians sufficient time to cross roads. Depending on the strategy, the built environment can be reconfigured to promote walkability, but the methods will vary in </w:t>
      </w:r>
      <w:r w:rsidRPr="00B15279">
        <w:rPr>
          <w:rFonts w:asciiTheme="majorHAnsi" w:eastAsia="Century Schoolbook" w:hAnsiTheme="majorHAnsi" w:cs="Century Schoolbook"/>
        </w:rPr>
        <w:lastRenderedPageBreak/>
        <w:t>cost and efficacy. Extending the time for pedestrians will be more cost saving, b</w:t>
      </w:r>
      <w:r w:rsidRPr="00B15279">
        <w:rPr>
          <w:rFonts w:asciiTheme="majorHAnsi" w:eastAsia="Century Schoolbook" w:hAnsiTheme="majorHAnsi" w:cs="Century Schoolbook"/>
        </w:rPr>
        <w:t xml:space="preserve">ut creating refuge islands has the most efficacy. </w:t>
      </w:r>
    </w:p>
    <w:p w14:paraId="0000008C" w14:textId="02CC11EE" w:rsidR="00284308" w:rsidRPr="00B15279" w:rsidRDefault="00BF460D" w:rsidP="00BF460D">
      <w:pPr>
        <w:pBdr>
          <w:top w:val="nil"/>
          <w:left w:val="nil"/>
          <w:bottom w:val="nil"/>
          <w:right w:val="nil"/>
          <w:between w:val="nil"/>
        </w:pBdr>
        <w:spacing w:line="480" w:lineRule="auto"/>
        <w:jc w:val="center"/>
        <w:rPr>
          <w:rFonts w:asciiTheme="majorHAnsi" w:eastAsia="Century Schoolbook" w:hAnsiTheme="majorHAnsi" w:cs="Century Schoolbook"/>
          <w:b/>
          <w:color w:val="000000" w:themeColor="text1"/>
        </w:rPr>
      </w:pPr>
      <w:r w:rsidRPr="00B15279">
        <w:rPr>
          <w:rFonts w:asciiTheme="majorHAnsi" w:hAnsiTheme="majorHAnsi"/>
          <w:noProof/>
          <w:color w:val="000000" w:themeColor="text1"/>
        </w:rPr>
        <w:drawing>
          <wp:anchor distT="114300" distB="114300" distL="114300" distR="114300" simplePos="0" relativeHeight="251663360" behindDoc="0" locked="0" layoutInCell="1" hidden="0" allowOverlap="1" wp14:editId="21A147C2">
            <wp:simplePos x="0" y="0"/>
            <wp:positionH relativeFrom="column">
              <wp:posOffset>493512</wp:posOffset>
            </wp:positionH>
            <wp:positionV relativeFrom="paragraph">
              <wp:posOffset>367989</wp:posOffset>
            </wp:positionV>
            <wp:extent cx="4480560" cy="2510790"/>
            <wp:effectExtent l="0" t="0" r="0" b="0"/>
            <wp:wrapSquare wrapText="bothSides" distT="114300" distB="114300" distL="114300" distR="114300"/>
            <wp:docPr id="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480560" cy="2510790"/>
                    </a:xfrm>
                    <a:prstGeom prst="rect">
                      <a:avLst/>
                    </a:prstGeom>
                    <a:ln/>
                  </pic:spPr>
                </pic:pic>
              </a:graphicData>
            </a:graphic>
          </wp:anchor>
        </w:drawing>
      </w:r>
      <w:r w:rsidR="00EE5CAD" w:rsidRPr="00B15279">
        <w:rPr>
          <w:rFonts w:asciiTheme="majorHAnsi" w:eastAsia="Century Schoolbook" w:hAnsiTheme="majorHAnsi" w:cs="Century Schoolbook"/>
          <w:b/>
          <w:color w:val="000000" w:themeColor="text1"/>
        </w:rPr>
        <w:t>Table 6: Example of Median Refuge Island</w:t>
      </w:r>
    </w:p>
    <w:p w14:paraId="0000008D"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b/>
        </w:rPr>
      </w:pPr>
    </w:p>
    <w:p w14:paraId="0000008E"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b/>
        </w:rPr>
      </w:pPr>
    </w:p>
    <w:p w14:paraId="15231A75" w14:textId="77777777" w:rsidR="00BF460D" w:rsidRPr="00B15279" w:rsidRDefault="00BF460D">
      <w:pPr>
        <w:pBdr>
          <w:top w:val="nil"/>
          <w:left w:val="nil"/>
          <w:bottom w:val="nil"/>
          <w:right w:val="nil"/>
          <w:between w:val="nil"/>
        </w:pBdr>
        <w:spacing w:line="480" w:lineRule="auto"/>
        <w:rPr>
          <w:rFonts w:asciiTheme="majorHAnsi" w:eastAsia="Century Schoolbook" w:hAnsiTheme="majorHAnsi" w:cs="Century Schoolbook"/>
        </w:rPr>
      </w:pPr>
    </w:p>
    <w:p w14:paraId="5C691411" w14:textId="77777777" w:rsidR="00BF460D" w:rsidRPr="00B15279" w:rsidRDefault="00BF460D">
      <w:pPr>
        <w:pBdr>
          <w:top w:val="nil"/>
          <w:left w:val="nil"/>
          <w:bottom w:val="nil"/>
          <w:right w:val="nil"/>
          <w:between w:val="nil"/>
        </w:pBdr>
        <w:spacing w:line="480" w:lineRule="auto"/>
        <w:rPr>
          <w:rFonts w:asciiTheme="majorHAnsi" w:eastAsia="Century Schoolbook" w:hAnsiTheme="majorHAnsi" w:cs="Century Schoolbook"/>
        </w:rPr>
      </w:pPr>
    </w:p>
    <w:p w14:paraId="4A3E8865" w14:textId="77777777" w:rsidR="00BF460D" w:rsidRPr="00B15279" w:rsidRDefault="00BF460D">
      <w:pPr>
        <w:pBdr>
          <w:top w:val="nil"/>
          <w:left w:val="nil"/>
          <w:bottom w:val="nil"/>
          <w:right w:val="nil"/>
          <w:between w:val="nil"/>
        </w:pBdr>
        <w:spacing w:line="480" w:lineRule="auto"/>
        <w:rPr>
          <w:rFonts w:asciiTheme="majorHAnsi" w:eastAsia="Century Schoolbook" w:hAnsiTheme="majorHAnsi" w:cs="Century Schoolbook"/>
        </w:rPr>
      </w:pPr>
    </w:p>
    <w:p w14:paraId="0BF7A744" w14:textId="77777777" w:rsidR="00BF460D" w:rsidRPr="00B15279" w:rsidRDefault="00BF460D">
      <w:pPr>
        <w:pBdr>
          <w:top w:val="nil"/>
          <w:left w:val="nil"/>
          <w:bottom w:val="nil"/>
          <w:right w:val="nil"/>
          <w:between w:val="nil"/>
        </w:pBdr>
        <w:spacing w:line="480" w:lineRule="auto"/>
        <w:rPr>
          <w:rFonts w:asciiTheme="majorHAnsi" w:eastAsia="Century Schoolbook" w:hAnsiTheme="majorHAnsi" w:cs="Century Schoolbook"/>
        </w:rPr>
      </w:pPr>
    </w:p>
    <w:p w14:paraId="20F00B5C" w14:textId="77777777" w:rsidR="00B77B23" w:rsidRDefault="00B77B23">
      <w:pPr>
        <w:pBdr>
          <w:top w:val="nil"/>
          <w:left w:val="nil"/>
          <w:bottom w:val="nil"/>
          <w:right w:val="nil"/>
          <w:between w:val="nil"/>
        </w:pBdr>
        <w:spacing w:line="480" w:lineRule="auto"/>
        <w:rPr>
          <w:rFonts w:asciiTheme="majorHAnsi" w:eastAsia="Century Schoolbook" w:hAnsiTheme="majorHAnsi" w:cs="Century Schoolbook"/>
        </w:rPr>
      </w:pPr>
    </w:p>
    <w:p w14:paraId="2B74DC3D" w14:textId="77777777" w:rsidR="00B77B23" w:rsidRDefault="00B77B23">
      <w:pPr>
        <w:pBdr>
          <w:top w:val="nil"/>
          <w:left w:val="nil"/>
          <w:bottom w:val="nil"/>
          <w:right w:val="nil"/>
          <w:between w:val="nil"/>
        </w:pBdr>
        <w:spacing w:line="480" w:lineRule="auto"/>
        <w:rPr>
          <w:rFonts w:asciiTheme="majorHAnsi" w:eastAsia="Century Schoolbook" w:hAnsiTheme="majorHAnsi" w:cs="Century Schoolbook"/>
        </w:rPr>
      </w:pPr>
    </w:p>
    <w:p w14:paraId="0000008F" w14:textId="33F07993"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rPr>
      </w:pPr>
      <w:r w:rsidRPr="00B15279">
        <w:rPr>
          <w:rFonts w:asciiTheme="majorHAnsi" w:eastAsia="Century Schoolbook" w:hAnsiTheme="majorHAnsi" w:cs="Century Schoolbook"/>
        </w:rPr>
        <w:t>Source: (New York City Department of Transportation Street Design Manual, 2020)</w:t>
      </w:r>
    </w:p>
    <w:p w14:paraId="00000090" w14:textId="77777777" w:rsidR="00284308" w:rsidRPr="00B15279" w:rsidRDefault="00EE5CAD">
      <w:pPr>
        <w:pBdr>
          <w:top w:val="nil"/>
          <w:left w:val="nil"/>
          <w:bottom w:val="nil"/>
          <w:right w:val="nil"/>
          <w:between w:val="nil"/>
        </w:pBd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rPr>
        <w:t xml:space="preserve">The intersection between Franklin Boulevard and </w:t>
      </w:r>
      <w:proofErr w:type="spellStart"/>
      <w:r w:rsidRPr="00B15279">
        <w:rPr>
          <w:rFonts w:asciiTheme="majorHAnsi" w:eastAsia="Century Schoolbook" w:hAnsiTheme="majorHAnsi" w:cs="Century Schoolbook"/>
        </w:rPr>
        <w:t>Sutterville</w:t>
      </w:r>
      <w:proofErr w:type="spellEnd"/>
      <w:r w:rsidRPr="00B15279">
        <w:rPr>
          <w:rFonts w:asciiTheme="majorHAnsi" w:eastAsia="Century Schoolbook" w:hAnsiTheme="majorHAnsi" w:cs="Century Schoolbook"/>
        </w:rPr>
        <w:t xml:space="preserve"> road could benefit f</w:t>
      </w:r>
      <w:r w:rsidRPr="00B15279">
        <w:rPr>
          <w:rFonts w:asciiTheme="majorHAnsi" w:eastAsia="Century Schoolbook" w:hAnsiTheme="majorHAnsi" w:cs="Century Schoolbook"/>
        </w:rPr>
        <w:t>rom an improved built environment that makes crossing safer for pedestrians with the introduction of a refuge island on the center of the crosswalk. Franklin Boulevard is a four-lane arterial road with a crosswalk that requires pedestrians to walk a long d</w:t>
      </w:r>
      <w:r w:rsidRPr="00B15279">
        <w:rPr>
          <w:rFonts w:asciiTheme="majorHAnsi" w:eastAsia="Century Schoolbook" w:hAnsiTheme="majorHAnsi" w:cs="Century Schoolbook"/>
        </w:rPr>
        <w:t>istance. A refuge island on the center of the road would allow pedestrians to feel safer and confident about walking. In a survey that was developed by the City of Oakland, respondents felt more confident with the refuge islands (CITE). The sources have sh</w:t>
      </w:r>
      <w:r w:rsidRPr="00B15279">
        <w:rPr>
          <w:rFonts w:asciiTheme="majorHAnsi" w:eastAsia="Century Schoolbook" w:hAnsiTheme="majorHAnsi" w:cs="Century Schoolbook"/>
        </w:rPr>
        <w:t>own that 49 percent of Sacramento pedestrian collisions have occurred on crosswalks and 30 percent while crossing outside of crosswalks. Pedestrians are also 10 times more likely to be killed from injuries (Vision Zero Sacramento, 2018). Disadvantaged comm</w:t>
      </w:r>
      <w:r w:rsidRPr="00B15279">
        <w:rPr>
          <w:rFonts w:asciiTheme="majorHAnsi" w:eastAsia="Century Schoolbook" w:hAnsiTheme="majorHAnsi" w:cs="Century Schoolbook"/>
        </w:rPr>
        <w:t xml:space="preserve">unities are often more impacted by the risks involved when </w:t>
      </w:r>
      <w:r w:rsidRPr="00B15279">
        <w:rPr>
          <w:rFonts w:asciiTheme="majorHAnsi" w:eastAsia="Century Schoolbook" w:hAnsiTheme="majorHAnsi" w:cs="Century Schoolbook"/>
        </w:rPr>
        <w:lastRenderedPageBreak/>
        <w:t>walking to amenities that may be further away. People with disabilities also tend to live in lower socioeconomic neighborhoods where there is a need for a built environment that improves the safety</w:t>
      </w:r>
      <w:r w:rsidRPr="00B15279">
        <w:rPr>
          <w:rFonts w:asciiTheme="majorHAnsi" w:eastAsia="Century Schoolbook" w:hAnsiTheme="majorHAnsi" w:cs="Century Schoolbook"/>
        </w:rPr>
        <w:t xml:space="preserve"> of crosswalks. Table 6 shows how Vision Zero Sacramento has identified Franklin Blvd. as a high injury network.</w:t>
      </w:r>
    </w:p>
    <w:p w14:paraId="00000091" w14:textId="77777777" w:rsidR="00284308" w:rsidRPr="00B15279" w:rsidRDefault="00EE5CAD">
      <w:pPr>
        <w:pBdr>
          <w:top w:val="nil"/>
          <w:left w:val="nil"/>
          <w:bottom w:val="nil"/>
          <w:right w:val="nil"/>
          <w:between w:val="nil"/>
        </w:pBdr>
        <w:spacing w:line="480" w:lineRule="auto"/>
        <w:ind w:firstLine="720"/>
        <w:jc w:val="center"/>
        <w:rPr>
          <w:rFonts w:asciiTheme="majorHAnsi" w:eastAsia="Century Schoolbook" w:hAnsiTheme="majorHAnsi" w:cs="Century Schoolbook"/>
          <w:b/>
          <w:color w:val="000000" w:themeColor="text1"/>
        </w:rPr>
      </w:pPr>
      <w:r w:rsidRPr="00B15279">
        <w:rPr>
          <w:rFonts w:asciiTheme="majorHAnsi" w:eastAsia="Century Schoolbook" w:hAnsiTheme="majorHAnsi" w:cs="Century Schoolbook"/>
          <w:b/>
          <w:color w:val="000000" w:themeColor="text1"/>
        </w:rPr>
        <w:t>Table 7: Map of Franklin Blvd. High Injury Network and Disadvantaged Community</w:t>
      </w:r>
    </w:p>
    <w:p w14:paraId="00000092" w14:textId="77777777" w:rsidR="00284308" w:rsidRPr="00B15279" w:rsidRDefault="00EE5CAD">
      <w:pPr>
        <w:pBdr>
          <w:top w:val="nil"/>
          <w:left w:val="nil"/>
          <w:bottom w:val="nil"/>
          <w:right w:val="nil"/>
          <w:between w:val="nil"/>
        </w:pBdr>
        <w:spacing w:line="480" w:lineRule="auto"/>
        <w:rPr>
          <w:rFonts w:asciiTheme="majorHAnsi" w:eastAsia="Century Schoolbook" w:hAnsiTheme="majorHAnsi" w:cs="Century Schoolbook"/>
        </w:rPr>
      </w:pPr>
      <w:r w:rsidRPr="00B15279">
        <w:rPr>
          <w:rFonts w:asciiTheme="majorHAnsi" w:hAnsiTheme="majorHAnsi"/>
          <w:noProof/>
        </w:rPr>
        <w:drawing>
          <wp:anchor distT="114300" distB="114300" distL="114300" distR="114300" simplePos="0" relativeHeight="251664384" behindDoc="0" locked="0" layoutInCell="1" hidden="0" allowOverlap="1">
            <wp:simplePos x="0" y="0"/>
            <wp:positionH relativeFrom="column">
              <wp:posOffset>417251</wp:posOffset>
            </wp:positionH>
            <wp:positionV relativeFrom="paragraph">
              <wp:posOffset>-401</wp:posOffset>
            </wp:positionV>
            <wp:extent cx="5090795" cy="3549015"/>
            <wp:effectExtent l="0" t="0" r="0" b="0"/>
            <wp:wrapSquare wrapText="bothSides" distT="114300" distB="114300" distL="114300" distR="114300"/>
            <wp:docPr id="1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090795" cy="3549015"/>
                    </a:xfrm>
                    <a:prstGeom prst="rect">
                      <a:avLst/>
                    </a:prstGeom>
                    <a:ln/>
                  </pic:spPr>
                </pic:pic>
              </a:graphicData>
            </a:graphic>
          </wp:anchor>
        </w:drawing>
      </w:r>
      <w:r w:rsidRPr="00B15279">
        <w:rPr>
          <w:rFonts w:asciiTheme="majorHAnsi" w:hAnsiTheme="majorHAnsi"/>
          <w:noProof/>
        </w:rPr>
        <mc:AlternateContent>
          <mc:Choice Requires="wps">
            <w:drawing>
              <wp:anchor distT="0" distB="0" distL="114300" distR="114300" simplePos="0" relativeHeight="251665408" behindDoc="0" locked="0" layoutInCell="1" hidden="0" allowOverlap="1">
                <wp:simplePos x="0" y="0"/>
                <wp:positionH relativeFrom="column">
                  <wp:posOffset>2933700</wp:posOffset>
                </wp:positionH>
                <wp:positionV relativeFrom="paragraph">
                  <wp:posOffset>1435100</wp:posOffset>
                </wp:positionV>
                <wp:extent cx="162045" cy="166145"/>
                <wp:effectExtent l="0" t="0" r="0" b="0"/>
                <wp:wrapNone/>
                <wp:docPr id="123" name="5-Point Star 123"/>
                <wp:cNvGraphicFramePr/>
                <a:graphic xmlns:a="http://schemas.openxmlformats.org/drawingml/2006/main">
                  <a:graphicData uri="http://schemas.microsoft.com/office/word/2010/wordprocessingShape">
                    <wps:wsp>
                      <wps:cNvSpPr/>
                      <wps:spPr>
                        <a:xfrm>
                          <a:off x="5274503" y="3706453"/>
                          <a:ext cx="142995" cy="147095"/>
                        </a:xfrm>
                        <a:prstGeom prst="star5">
                          <a:avLst>
                            <a:gd name="adj" fmla="val 19098"/>
                            <a:gd name="hf" fmla="val 105146"/>
                            <a:gd name="vf" fmla="val 110557"/>
                          </a:avLst>
                        </a:prstGeom>
                        <a:solidFill>
                          <a:srgbClr val="3F7818"/>
                        </a:solidFill>
                        <a:ln w="19050" cap="rnd" cmpd="sng">
                          <a:solidFill>
                            <a:srgbClr val="2A5010"/>
                          </a:solidFill>
                          <a:prstDash val="solid"/>
                          <a:round/>
                          <a:headEnd type="none" w="sm" len="sm"/>
                          <a:tailEnd type="none" w="sm" len="sm"/>
                        </a:ln>
                      </wps:spPr>
                      <wps:txbx>
                        <w:txbxContent>
                          <w:p w14:paraId="36C9814A" w14:textId="77777777" w:rsidR="00284308" w:rsidRDefault="00284308">
                            <w:pPr>
                              <w:textDirection w:val="btLr"/>
                            </w:pPr>
                          </w:p>
                        </w:txbxContent>
                      </wps:txbx>
                      <wps:bodyPr spcFirstLastPara="1" wrap="square" lIns="91425" tIns="91425" rIns="91425" bIns="91425" anchor="ctr" anchorCtr="0">
                        <a:noAutofit/>
                      </wps:bodyPr>
                    </wps:wsp>
                  </a:graphicData>
                </a:graphic>
              </wp:anchor>
            </w:drawing>
          </mc:Choice>
          <mc:Fallback>
            <w:pict>
              <v:shape id="5-Point Star 123" o:spid="_x0000_s1026" style="position:absolute;margin-left:231pt;margin-top:113pt;width:12.75pt;height:13.1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42995,1470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" adj="-11796480,,5400" path="m,56185r54620,1l71498,,88375,56186r54620,-1l98807,90909r16878,56186l71498,112370,27310,147095,44188,90909,,56185xe" fillcolor="#3f7818" strokecolor="#2a5010" strokeweight="1.5pt">
                <v:stroke startarrowwidth="narrow" startarrowlength="short" endarrowwidth="narrow" endarrowlength="short" joinstyle="round" endcap="round"/>
                <v:formulas/>
                <v:path arrowok="t" o:connecttype="custom" o:connectlocs="0,56185;54620,56186;71498,0;88375,56186;142995,56185;98807,90909;115685,147095;71498,112370;27310,147095;44188,90909;0,56185" o:connectangles="0,0,0,0,0,0,0,0,0,0,0" textboxrect="0,0,142995,147095"/>
                <v:textbox inset="2.53958mm,2.53958mm,2.53958mm,2.53958mm">
                  <w:txbxContent>
                    <w:p w14:paraId="36C9814A" w14:textId="77777777" w:rsidR="00284308" w:rsidRDefault="00284308">
                      <w:pPr>
                        <w:textDirection w:val="btLr"/>
                      </w:pPr>
                    </w:p>
                  </w:txbxContent>
                </v:textbox>
              </v:shape>
            </w:pict>
          </mc:Fallback>
        </mc:AlternateContent>
      </w:r>
    </w:p>
    <w:p w14:paraId="00000093" w14:textId="77777777" w:rsidR="00284308" w:rsidRPr="00B15279" w:rsidRDefault="00EE5CAD">
      <w:pPr>
        <w:pBdr>
          <w:top w:val="nil"/>
          <w:left w:val="nil"/>
          <w:bottom w:val="nil"/>
          <w:right w:val="nil"/>
          <w:between w:val="nil"/>
        </w:pBdr>
        <w:spacing w:line="480" w:lineRule="auto"/>
        <w:ind w:firstLine="720"/>
        <w:jc w:val="center"/>
        <w:rPr>
          <w:rFonts w:asciiTheme="majorHAnsi" w:eastAsia="Century Schoolbook" w:hAnsiTheme="majorHAnsi" w:cs="Century Schoolbook"/>
        </w:rPr>
      </w:pPr>
      <w:r w:rsidRPr="00B15279">
        <w:rPr>
          <w:rFonts w:asciiTheme="majorHAnsi" w:eastAsia="Century Schoolbook" w:hAnsiTheme="majorHAnsi" w:cs="Century Schoolbook"/>
        </w:rPr>
        <w:t>Source: (Vision Zero Sacramento, 2018)</w:t>
      </w:r>
    </w:p>
    <w:p w14:paraId="3AFFA0CF" w14:textId="77777777" w:rsidR="00B77B23" w:rsidRDefault="00B77B23">
      <w:pPr>
        <w:pBdr>
          <w:top w:val="nil"/>
          <w:left w:val="nil"/>
          <w:bottom w:val="nil"/>
          <w:right w:val="nil"/>
          <w:between w:val="nil"/>
        </w:pBdr>
        <w:spacing w:line="480" w:lineRule="auto"/>
        <w:ind w:firstLine="720"/>
        <w:jc w:val="center"/>
        <w:rPr>
          <w:rFonts w:asciiTheme="majorHAnsi" w:eastAsia="Century Schoolbook" w:hAnsiTheme="majorHAnsi" w:cs="Century Schoolbook"/>
          <w:b/>
          <w:color w:val="000000" w:themeColor="text1"/>
        </w:rPr>
      </w:pPr>
    </w:p>
    <w:p w14:paraId="65ED76D5" w14:textId="77777777" w:rsidR="00B77B23" w:rsidRDefault="00B77B23">
      <w:pPr>
        <w:pBdr>
          <w:top w:val="nil"/>
          <w:left w:val="nil"/>
          <w:bottom w:val="nil"/>
          <w:right w:val="nil"/>
          <w:between w:val="nil"/>
        </w:pBdr>
        <w:spacing w:line="480" w:lineRule="auto"/>
        <w:ind w:firstLine="720"/>
        <w:jc w:val="center"/>
        <w:rPr>
          <w:rFonts w:asciiTheme="majorHAnsi" w:eastAsia="Century Schoolbook" w:hAnsiTheme="majorHAnsi" w:cs="Century Schoolbook"/>
          <w:b/>
          <w:color w:val="000000" w:themeColor="text1"/>
        </w:rPr>
      </w:pPr>
    </w:p>
    <w:p w14:paraId="05034088" w14:textId="77777777" w:rsidR="00B77B23" w:rsidRDefault="00B77B23">
      <w:pPr>
        <w:pBdr>
          <w:top w:val="nil"/>
          <w:left w:val="nil"/>
          <w:bottom w:val="nil"/>
          <w:right w:val="nil"/>
          <w:between w:val="nil"/>
        </w:pBdr>
        <w:spacing w:line="480" w:lineRule="auto"/>
        <w:ind w:firstLine="720"/>
        <w:jc w:val="center"/>
        <w:rPr>
          <w:rFonts w:asciiTheme="majorHAnsi" w:eastAsia="Century Schoolbook" w:hAnsiTheme="majorHAnsi" w:cs="Century Schoolbook"/>
          <w:b/>
          <w:color w:val="000000" w:themeColor="text1"/>
        </w:rPr>
      </w:pPr>
    </w:p>
    <w:p w14:paraId="752BF171" w14:textId="77777777" w:rsidR="00B77B23" w:rsidRDefault="00B77B23">
      <w:pPr>
        <w:pBdr>
          <w:top w:val="nil"/>
          <w:left w:val="nil"/>
          <w:bottom w:val="nil"/>
          <w:right w:val="nil"/>
          <w:between w:val="nil"/>
        </w:pBdr>
        <w:spacing w:line="480" w:lineRule="auto"/>
        <w:ind w:firstLine="720"/>
        <w:jc w:val="center"/>
        <w:rPr>
          <w:rFonts w:asciiTheme="majorHAnsi" w:eastAsia="Century Schoolbook" w:hAnsiTheme="majorHAnsi" w:cs="Century Schoolbook"/>
          <w:b/>
          <w:color w:val="000000" w:themeColor="text1"/>
        </w:rPr>
      </w:pPr>
    </w:p>
    <w:p w14:paraId="262E17BE" w14:textId="77777777" w:rsidR="00B77B23" w:rsidRDefault="00B77B23">
      <w:pPr>
        <w:pBdr>
          <w:top w:val="nil"/>
          <w:left w:val="nil"/>
          <w:bottom w:val="nil"/>
          <w:right w:val="nil"/>
          <w:between w:val="nil"/>
        </w:pBdr>
        <w:spacing w:line="480" w:lineRule="auto"/>
        <w:ind w:firstLine="720"/>
        <w:jc w:val="center"/>
        <w:rPr>
          <w:rFonts w:asciiTheme="majorHAnsi" w:eastAsia="Century Schoolbook" w:hAnsiTheme="majorHAnsi" w:cs="Century Schoolbook"/>
          <w:b/>
          <w:color w:val="000000" w:themeColor="text1"/>
        </w:rPr>
      </w:pPr>
    </w:p>
    <w:p w14:paraId="40B6A070" w14:textId="77777777" w:rsidR="00B77B23" w:rsidRDefault="00B77B23">
      <w:pPr>
        <w:pBdr>
          <w:top w:val="nil"/>
          <w:left w:val="nil"/>
          <w:bottom w:val="nil"/>
          <w:right w:val="nil"/>
          <w:between w:val="nil"/>
        </w:pBdr>
        <w:spacing w:line="480" w:lineRule="auto"/>
        <w:ind w:firstLine="720"/>
        <w:jc w:val="center"/>
        <w:rPr>
          <w:rFonts w:asciiTheme="majorHAnsi" w:eastAsia="Century Schoolbook" w:hAnsiTheme="majorHAnsi" w:cs="Century Schoolbook"/>
          <w:b/>
          <w:color w:val="000000" w:themeColor="text1"/>
        </w:rPr>
      </w:pPr>
    </w:p>
    <w:p w14:paraId="00000094" w14:textId="51518DB8" w:rsidR="00284308" w:rsidRPr="00B15279" w:rsidRDefault="00EE5CAD">
      <w:pPr>
        <w:pBdr>
          <w:top w:val="nil"/>
          <w:left w:val="nil"/>
          <w:bottom w:val="nil"/>
          <w:right w:val="nil"/>
          <w:between w:val="nil"/>
        </w:pBdr>
        <w:spacing w:line="480" w:lineRule="auto"/>
        <w:ind w:firstLine="720"/>
        <w:jc w:val="center"/>
        <w:rPr>
          <w:rFonts w:asciiTheme="majorHAnsi" w:eastAsia="Century Schoolbook" w:hAnsiTheme="majorHAnsi" w:cs="Century Schoolbook"/>
          <w:b/>
          <w:color w:val="000000" w:themeColor="text1"/>
        </w:rPr>
      </w:pPr>
      <w:r w:rsidRPr="00B15279">
        <w:rPr>
          <w:rFonts w:asciiTheme="majorHAnsi" w:eastAsia="Century Schoolbook" w:hAnsiTheme="majorHAnsi" w:cs="Century Schoolbook"/>
          <w:b/>
          <w:color w:val="000000" w:themeColor="text1"/>
        </w:rPr>
        <w:lastRenderedPageBreak/>
        <w:t>Table 8: Graph of Sacramento’s Collisions by Mode</w:t>
      </w:r>
    </w:p>
    <w:p w14:paraId="00000095" w14:textId="77777777" w:rsidR="00284308" w:rsidRPr="00B15279" w:rsidRDefault="00EE5CAD">
      <w:pPr>
        <w:spacing w:line="480" w:lineRule="auto"/>
        <w:jc w:val="center"/>
        <w:rPr>
          <w:rFonts w:asciiTheme="majorHAnsi" w:eastAsia="Century Schoolbook" w:hAnsiTheme="majorHAnsi" w:cs="Century Schoolbook"/>
          <w:color w:val="0E101A"/>
        </w:rPr>
      </w:pPr>
      <w:bookmarkStart w:id="4" w:name="_heading=h.3hgxci3hk4j8" w:colFirst="0" w:colLast="0"/>
      <w:bookmarkEnd w:id="4"/>
      <w:r w:rsidRPr="00B15279">
        <w:rPr>
          <w:rFonts w:asciiTheme="majorHAnsi" w:hAnsiTheme="majorHAnsi"/>
          <w:noProof/>
        </w:rPr>
        <w:drawing>
          <wp:anchor distT="0" distB="0" distL="114300" distR="114300" simplePos="0" relativeHeight="251666432" behindDoc="0" locked="0" layoutInCell="1" hidden="0" allowOverlap="1">
            <wp:simplePos x="0" y="0"/>
            <wp:positionH relativeFrom="column">
              <wp:posOffset>463550</wp:posOffset>
            </wp:positionH>
            <wp:positionV relativeFrom="paragraph">
              <wp:posOffset>8255</wp:posOffset>
            </wp:positionV>
            <wp:extent cx="5227320" cy="2381250"/>
            <wp:effectExtent l="0" t="0" r="0" b="0"/>
            <wp:wrapSquare wrapText="bothSides" distT="0" distB="0" distL="114300" distR="114300"/>
            <wp:docPr id="1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227320" cy="2381250"/>
                    </a:xfrm>
                    <a:prstGeom prst="rect">
                      <a:avLst/>
                    </a:prstGeom>
                    <a:ln/>
                  </pic:spPr>
                </pic:pic>
              </a:graphicData>
            </a:graphic>
          </wp:anchor>
        </w:drawing>
      </w:r>
    </w:p>
    <w:p w14:paraId="30434E4C" w14:textId="77777777" w:rsidR="00BF460D" w:rsidRPr="00B15279" w:rsidRDefault="00BF460D">
      <w:pPr>
        <w:spacing w:line="480" w:lineRule="auto"/>
        <w:jc w:val="center"/>
        <w:rPr>
          <w:rFonts w:asciiTheme="majorHAnsi" w:eastAsia="Century Schoolbook" w:hAnsiTheme="majorHAnsi" w:cs="Century Schoolbook"/>
          <w:color w:val="0E101A"/>
        </w:rPr>
      </w:pPr>
      <w:bookmarkStart w:id="5" w:name="_heading=h.iqfz94v8uxtb" w:colFirst="0" w:colLast="0"/>
      <w:bookmarkEnd w:id="5"/>
    </w:p>
    <w:p w14:paraId="53881307" w14:textId="77777777" w:rsidR="00BF460D" w:rsidRPr="00B15279" w:rsidRDefault="00BF460D">
      <w:pPr>
        <w:spacing w:line="480" w:lineRule="auto"/>
        <w:jc w:val="center"/>
        <w:rPr>
          <w:rFonts w:asciiTheme="majorHAnsi" w:eastAsia="Century Schoolbook" w:hAnsiTheme="majorHAnsi" w:cs="Century Schoolbook"/>
          <w:color w:val="0E101A"/>
        </w:rPr>
      </w:pPr>
    </w:p>
    <w:p w14:paraId="370D6714" w14:textId="183835A5" w:rsidR="00BF460D" w:rsidRPr="00B15279" w:rsidRDefault="00BF460D">
      <w:pPr>
        <w:spacing w:line="480" w:lineRule="auto"/>
        <w:jc w:val="center"/>
        <w:rPr>
          <w:rFonts w:asciiTheme="majorHAnsi" w:eastAsia="Century Schoolbook" w:hAnsiTheme="majorHAnsi" w:cs="Century Schoolbook"/>
          <w:color w:val="0E101A"/>
        </w:rPr>
      </w:pPr>
    </w:p>
    <w:p w14:paraId="3F6ECA71" w14:textId="1859202E" w:rsidR="00BF460D" w:rsidRPr="00B15279" w:rsidRDefault="00BF460D">
      <w:pPr>
        <w:spacing w:line="480" w:lineRule="auto"/>
        <w:jc w:val="center"/>
        <w:rPr>
          <w:rFonts w:asciiTheme="majorHAnsi" w:eastAsia="Century Schoolbook" w:hAnsiTheme="majorHAnsi" w:cs="Century Schoolbook"/>
          <w:color w:val="0E101A"/>
        </w:rPr>
      </w:pPr>
    </w:p>
    <w:p w14:paraId="2E3430FF" w14:textId="23486787" w:rsidR="00BF460D" w:rsidRPr="00B15279" w:rsidRDefault="00BF460D">
      <w:pPr>
        <w:spacing w:line="480" w:lineRule="auto"/>
        <w:jc w:val="center"/>
        <w:rPr>
          <w:rFonts w:asciiTheme="majorHAnsi" w:eastAsia="Century Schoolbook" w:hAnsiTheme="majorHAnsi" w:cs="Century Schoolbook"/>
          <w:color w:val="0E101A"/>
        </w:rPr>
      </w:pPr>
    </w:p>
    <w:p w14:paraId="2BB8650F" w14:textId="77777777" w:rsidR="00BF460D" w:rsidRPr="00B15279" w:rsidRDefault="00BF460D">
      <w:pPr>
        <w:spacing w:line="480" w:lineRule="auto"/>
        <w:jc w:val="center"/>
        <w:rPr>
          <w:rFonts w:asciiTheme="majorHAnsi" w:eastAsia="Century Schoolbook" w:hAnsiTheme="majorHAnsi" w:cs="Century Schoolbook"/>
          <w:color w:val="0E101A"/>
        </w:rPr>
      </w:pPr>
    </w:p>
    <w:p w14:paraId="00000096" w14:textId="264EC5F7" w:rsidR="00284308" w:rsidRPr="00B15279" w:rsidRDefault="00EE5CAD">
      <w:pPr>
        <w:spacing w:line="480" w:lineRule="auto"/>
        <w:jc w:val="center"/>
        <w:rPr>
          <w:rFonts w:asciiTheme="majorHAnsi" w:eastAsia="Century Schoolbook" w:hAnsiTheme="majorHAnsi" w:cs="Century Schoolbook"/>
          <w:color w:val="0E101A"/>
        </w:rPr>
      </w:pPr>
      <w:r w:rsidRPr="00B15279">
        <w:rPr>
          <w:rFonts w:asciiTheme="majorHAnsi" w:eastAsia="Century Schoolbook" w:hAnsiTheme="majorHAnsi" w:cs="Century Schoolbook"/>
          <w:color w:val="0E101A"/>
        </w:rPr>
        <w:t>Source: (Vision Zero Sacramento, 2018)</w:t>
      </w:r>
    </w:p>
    <w:p w14:paraId="00000097" w14:textId="77777777" w:rsidR="00284308" w:rsidRPr="00B15279" w:rsidRDefault="00EE5CAD">
      <w:pPr>
        <w:spacing w:line="480" w:lineRule="auto"/>
        <w:ind w:right="140"/>
        <w:rPr>
          <w:rFonts w:asciiTheme="majorHAnsi" w:eastAsia="Century Schoolbook" w:hAnsiTheme="majorHAnsi" w:cs="Century Schoolbook"/>
          <w:b/>
          <w:i/>
        </w:rPr>
      </w:pPr>
      <w:r w:rsidRPr="00B15279">
        <w:rPr>
          <w:rFonts w:asciiTheme="majorHAnsi" w:eastAsia="Century Schoolbook" w:hAnsiTheme="majorHAnsi" w:cs="Century Schoolbook"/>
          <w:b/>
          <w:i/>
        </w:rPr>
        <w:t xml:space="preserve">Nudge People to Walk </w:t>
      </w:r>
      <w:r w:rsidRPr="00B15279">
        <w:rPr>
          <w:rFonts w:asciiTheme="majorHAnsi" w:eastAsia="Century Schoolbook" w:hAnsiTheme="majorHAnsi" w:cs="Century Schoolbook"/>
          <w:i/>
        </w:rPr>
        <w:t xml:space="preserve"> </w:t>
      </w:r>
    </w:p>
    <w:p w14:paraId="00000098" w14:textId="77777777" w:rsidR="00284308" w:rsidRPr="00B15279" w:rsidRDefault="00EE5CAD">
      <w:pPr>
        <w:spacing w:line="480" w:lineRule="auto"/>
        <w:ind w:right="140" w:firstLine="720"/>
        <w:rPr>
          <w:rFonts w:asciiTheme="majorHAnsi" w:eastAsia="Century Schoolbook" w:hAnsiTheme="majorHAnsi" w:cs="Century Schoolbook"/>
        </w:rPr>
      </w:pPr>
      <w:r w:rsidRPr="00B15279">
        <w:rPr>
          <w:rFonts w:asciiTheme="majorHAnsi" w:eastAsia="Century Schoolbook" w:hAnsiTheme="majorHAnsi" w:cs="Century Schoolbook"/>
        </w:rPr>
        <w:t>Another strategy t</w:t>
      </w:r>
      <w:r w:rsidRPr="00B15279">
        <w:rPr>
          <w:rFonts w:asciiTheme="majorHAnsi" w:eastAsia="Century Schoolbook" w:hAnsiTheme="majorHAnsi" w:cs="Century Schoolbook"/>
        </w:rPr>
        <w:t>hat could increase walkability is to ensure that cities are educating individuals about how to walk safely and promoting accurate information about pedestrian rights. In the City of Seattle example, the local government has leveraged their partnerships wit</w:t>
      </w:r>
      <w:r w:rsidRPr="00B15279">
        <w:rPr>
          <w:rFonts w:asciiTheme="majorHAnsi" w:eastAsia="Century Schoolbook" w:hAnsiTheme="majorHAnsi" w:cs="Century Schoolbook"/>
        </w:rPr>
        <w:t>h organizations such as Safe Routes to School (SRTS) to encourage youth to walk. SRTS used the PMP framework, collision data and equity data to identify schools in need of safety improvement. SRTS taught children how to walk safely and provided them with m</w:t>
      </w:r>
      <w:r w:rsidRPr="00B15279">
        <w:rPr>
          <w:rFonts w:asciiTheme="majorHAnsi" w:eastAsia="Century Schoolbook" w:hAnsiTheme="majorHAnsi" w:cs="Century Schoolbook"/>
        </w:rPr>
        <w:t>aps for safe routes to walk to school. In collaboration with Seattle’s public schools and the Cascade Bicycle Club, SRTS created the program, “Let’s Go,” where third, fourth and fifth grade public school students receive training to walk safely and ways to</w:t>
      </w:r>
      <w:r w:rsidRPr="00B15279">
        <w:rPr>
          <w:rFonts w:asciiTheme="majorHAnsi" w:eastAsia="Century Schoolbook" w:hAnsiTheme="majorHAnsi" w:cs="Century Schoolbook"/>
        </w:rPr>
        <w:t xml:space="preserve"> avoid collisions. SRTS plans to make the program available for students with disabilities and expand the course to middle school students. SRTS aims to provide children with the skills to begin walking at an early age and drivers with information to encou</w:t>
      </w:r>
      <w:r w:rsidRPr="00B15279">
        <w:rPr>
          <w:rFonts w:asciiTheme="majorHAnsi" w:eastAsia="Century Schoolbook" w:hAnsiTheme="majorHAnsi" w:cs="Century Schoolbook"/>
        </w:rPr>
        <w:t xml:space="preserve">rage safe driving. </w:t>
      </w:r>
    </w:p>
    <w:p w14:paraId="00000099" w14:textId="77777777" w:rsidR="00284308" w:rsidRPr="00B15279" w:rsidRDefault="00EE5CAD">
      <w:pPr>
        <w:spacing w:line="480" w:lineRule="auto"/>
        <w:ind w:right="140" w:firstLine="720"/>
        <w:rPr>
          <w:rFonts w:asciiTheme="majorHAnsi" w:eastAsia="Century Schoolbook" w:hAnsiTheme="majorHAnsi" w:cs="Century Schoolbook"/>
        </w:rPr>
      </w:pPr>
      <w:r w:rsidRPr="00B15279">
        <w:rPr>
          <w:rFonts w:asciiTheme="majorHAnsi" w:eastAsia="Century Schoolbook" w:hAnsiTheme="majorHAnsi" w:cs="Century Schoolbook"/>
        </w:rPr>
        <w:lastRenderedPageBreak/>
        <w:t>SRTS also developed Learning Landscapes which is an initiative to encourage children to have fun learning while walking to and from school on sidewalks. The concept comes as a result of ways to address inequality of access to quality preschools by suppleme</w:t>
      </w:r>
      <w:r w:rsidRPr="00B15279">
        <w:rPr>
          <w:rFonts w:asciiTheme="majorHAnsi" w:eastAsia="Century Schoolbook" w:hAnsiTheme="majorHAnsi" w:cs="Century Schoolbook"/>
        </w:rPr>
        <w:t>nting learning through rethinking the use of public spaces. This initiative is done in partnership with the Seattle Department of Education and Early Learning. The activities are incorporated onto sidewalks in proximity to schools. To develop the designs o</w:t>
      </w:r>
      <w:r w:rsidRPr="00B15279">
        <w:rPr>
          <w:rFonts w:asciiTheme="majorHAnsi" w:eastAsia="Century Schoolbook" w:hAnsiTheme="majorHAnsi" w:cs="Century Schoolbook"/>
        </w:rPr>
        <w:t>nto sidewalks, SRTS started by identifying what teachers would like to highlight from the curriculum, and then the idea was developed into an engaging sidewalk activity. Teaching the public about safety and walking also occurs during the back-to-school sea</w:t>
      </w:r>
      <w:r w:rsidRPr="00B15279">
        <w:rPr>
          <w:rFonts w:asciiTheme="majorHAnsi" w:eastAsia="Century Schoolbook" w:hAnsiTheme="majorHAnsi" w:cs="Century Schoolbook"/>
        </w:rPr>
        <w:t xml:space="preserve">son. The education campaign included mailing postcards in several languages with information on where and when to drive 20 mph, as well as information on social media ads on Facebook and Instagram. </w:t>
      </w:r>
    </w:p>
    <w:p w14:paraId="0000009A" w14:textId="77777777" w:rsidR="00284308" w:rsidRPr="00B15279" w:rsidRDefault="00EE5CAD">
      <w:pPr>
        <w:spacing w:line="480" w:lineRule="auto"/>
        <w:ind w:right="140"/>
        <w:jc w:val="center"/>
        <w:rPr>
          <w:rFonts w:asciiTheme="majorHAnsi" w:eastAsia="Century Schoolbook" w:hAnsiTheme="majorHAnsi" w:cs="Century Schoolbook"/>
          <w:b/>
          <w:color w:val="000000" w:themeColor="text1"/>
        </w:rPr>
      </w:pPr>
      <w:r w:rsidRPr="00B15279">
        <w:rPr>
          <w:rFonts w:asciiTheme="majorHAnsi" w:eastAsia="Century Schoolbook" w:hAnsiTheme="majorHAnsi" w:cs="Century Schoolbook"/>
          <w:b/>
          <w:color w:val="000000" w:themeColor="text1"/>
        </w:rPr>
        <w:lastRenderedPageBreak/>
        <w:t>Table 9: Example of Sidewalk Installations for Learning L</w:t>
      </w:r>
      <w:r w:rsidRPr="00B15279">
        <w:rPr>
          <w:rFonts w:asciiTheme="majorHAnsi" w:eastAsia="Century Schoolbook" w:hAnsiTheme="majorHAnsi" w:cs="Century Schoolbook"/>
          <w:b/>
          <w:color w:val="000000" w:themeColor="text1"/>
        </w:rPr>
        <w:t>andscapes</w:t>
      </w:r>
      <w:r w:rsidRPr="00B15279">
        <w:rPr>
          <w:rFonts w:asciiTheme="majorHAnsi" w:hAnsiTheme="majorHAnsi"/>
          <w:noProof/>
          <w:color w:val="000000" w:themeColor="text1"/>
        </w:rPr>
        <w:drawing>
          <wp:anchor distT="114300" distB="114300" distL="114300" distR="114300" simplePos="0" relativeHeight="251667456" behindDoc="0" locked="0" layoutInCell="1" hidden="0" allowOverlap="1">
            <wp:simplePos x="0" y="0"/>
            <wp:positionH relativeFrom="column">
              <wp:posOffset>1083945</wp:posOffset>
            </wp:positionH>
            <wp:positionV relativeFrom="paragraph">
              <wp:posOffset>335280</wp:posOffset>
            </wp:positionV>
            <wp:extent cx="3710305" cy="3625215"/>
            <wp:effectExtent l="0" t="0" r="0" b="0"/>
            <wp:wrapSquare wrapText="bothSides" distT="114300" distB="114300" distL="114300" distR="114300"/>
            <wp:docPr id="1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710305" cy="3625215"/>
                    </a:xfrm>
                    <a:prstGeom prst="rect">
                      <a:avLst/>
                    </a:prstGeom>
                    <a:ln/>
                  </pic:spPr>
                </pic:pic>
              </a:graphicData>
            </a:graphic>
          </wp:anchor>
        </w:drawing>
      </w:r>
    </w:p>
    <w:p w14:paraId="0000009B" w14:textId="77777777" w:rsidR="00284308" w:rsidRPr="00B15279" w:rsidRDefault="00284308">
      <w:pPr>
        <w:spacing w:line="480" w:lineRule="auto"/>
        <w:ind w:right="140"/>
        <w:jc w:val="center"/>
        <w:rPr>
          <w:rFonts w:asciiTheme="majorHAnsi" w:eastAsia="Century Schoolbook" w:hAnsiTheme="majorHAnsi" w:cs="Century Schoolbook"/>
          <w:b/>
        </w:rPr>
      </w:pPr>
    </w:p>
    <w:p w14:paraId="0000009C" w14:textId="77777777" w:rsidR="00284308" w:rsidRPr="00B15279" w:rsidRDefault="00284308">
      <w:pPr>
        <w:spacing w:line="480" w:lineRule="auto"/>
        <w:ind w:right="140"/>
        <w:jc w:val="center"/>
        <w:rPr>
          <w:rFonts w:asciiTheme="majorHAnsi" w:eastAsia="Century Schoolbook" w:hAnsiTheme="majorHAnsi" w:cs="Century Schoolbook"/>
        </w:rPr>
      </w:pPr>
    </w:p>
    <w:p w14:paraId="0000009D" w14:textId="77777777" w:rsidR="00284308" w:rsidRPr="00B15279" w:rsidRDefault="00284308">
      <w:pPr>
        <w:spacing w:line="480" w:lineRule="auto"/>
        <w:ind w:right="140"/>
        <w:jc w:val="center"/>
        <w:rPr>
          <w:rFonts w:asciiTheme="majorHAnsi" w:eastAsia="Century Schoolbook" w:hAnsiTheme="majorHAnsi" w:cs="Century Schoolbook"/>
        </w:rPr>
      </w:pPr>
    </w:p>
    <w:p w14:paraId="0000009E" w14:textId="77777777" w:rsidR="00284308" w:rsidRPr="00B15279" w:rsidRDefault="00284308">
      <w:pPr>
        <w:spacing w:line="480" w:lineRule="auto"/>
        <w:ind w:right="140"/>
        <w:jc w:val="center"/>
        <w:rPr>
          <w:rFonts w:asciiTheme="majorHAnsi" w:eastAsia="Century Schoolbook" w:hAnsiTheme="majorHAnsi" w:cs="Century Schoolbook"/>
        </w:rPr>
      </w:pPr>
    </w:p>
    <w:p w14:paraId="0000009F" w14:textId="77777777" w:rsidR="00284308" w:rsidRPr="00B15279" w:rsidRDefault="00284308">
      <w:pPr>
        <w:spacing w:line="480" w:lineRule="auto"/>
        <w:ind w:right="140"/>
        <w:rPr>
          <w:rFonts w:asciiTheme="majorHAnsi" w:eastAsia="Century Schoolbook" w:hAnsiTheme="majorHAnsi" w:cs="Century Schoolbook"/>
        </w:rPr>
      </w:pPr>
    </w:p>
    <w:p w14:paraId="000000A0" w14:textId="77777777" w:rsidR="00284308" w:rsidRPr="00B15279" w:rsidRDefault="00284308">
      <w:pPr>
        <w:spacing w:line="480" w:lineRule="auto"/>
        <w:ind w:right="140"/>
        <w:rPr>
          <w:rFonts w:asciiTheme="majorHAnsi" w:eastAsia="Century Schoolbook" w:hAnsiTheme="majorHAnsi" w:cs="Century Schoolbook"/>
        </w:rPr>
      </w:pPr>
    </w:p>
    <w:p w14:paraId="000000A1" w14:textId="77777777" w:rsidR="00284308" w:rsidRPr="00B15279" w:rsidRDefault="00284308">
      <w:pPr>
        <w:spacing w:line="480" w:lineRule="auto"/>
        <w:ind w:right="140"/>
        <w:rPr>
          <w:rFonts w:asciiTheme="majorHAnsi" w:eastAsia="Century Schoolbook" w:hAnsiTheme="majorHAnsi" w:cs="Century Schoolbook"/>
        </w:rPr>
      </w:pPr>
    </w:p>
    <w:p w14:paraId="000000A2" w14:textId="77777777" w:rsidR="00284308" w:rsidRPr="00B15279" w:rsidRDefault="00284308">
      <w:pPr>
        <w:spacing w:line="480" w:lineRule="auto"/>
        <w:ind w:right="140"/>
        <w:jc w:val="center"/>
        <w:rPr>
          <w:rFonts w:asciiTheme="majorHAnsi" w:eastAsia="Century Schoolbook" w:hAnsiTheme="majorHAnsi" w:cs="Century Schoolbook"/>
        </w:rPr>
      </w:pPr>
    </w:p>
    <w:p w14:paraId="000000A5" w14:textId="113636E2" w:rsidR="00284308" w:rsidRPr="00B15279" w:rsidRDefault="00284308" w:rsidP="00BF460D">
      <w:pPr>
        <w:spacing w:line="480" w:lineRule="auto"/>
        <w:ind w:right="140"/>
        <w:rPr>
          <w:rFonts w:asciiTheme="majorHAnsi" w:eastAsia="Century Schoolbook" w:hAnsiTheme="majorHAnsi" w:cs="Century Schoolbook"/>
        </w:rPr>
      </w:pPr>
    </w:p>
    <w:p w14:paraId="67E434AC" w14:textId="38C589A5" w:rsidR="00BF460D" w:rsidRPr="00B15279" w:rsidRDefault="00BF460D" w:rsidP="00BF460D">
      <w:pPr>
        <w:spacing w:line="480" w:lineRule="auto"/>
        <w:ind w:right="140"/>
        <w:rPr>
          <w:rFonts w:asciiTheme="majorHAnsi" w:eastAsia="Century Schoolbook" w:hAnsiTheme="majorHAnsi" w:cs="Century Schoolbook"/>
        </w:rPr>
      </w:pPr>
    </w:p>
    <w:p w14:paraId="0D3E4CA5" w14:textId="77777777" w:rsidR="00BF460D" w:rsidRPr="00B15279" w:rsidRDefault="00BF460D" w:rsidP="00BF460D">
      <w:pPr>
        <w:spacing w:line="480" w:lineRule="auto"/>
        <w:ind w:right="140"/>
        <w:rPr>
          <w:rFonts w:asciiTheme="majorHAnsi" w:eastAsia="Century Schoolbook" w:hAnsiTheme="majorHAnsi" w:cs="Century Schoolbook"/>
        </w:rPr>
      </w:pPr>
    </w:p>
    <w:p w14:paraId="000000A6" w14:textId="77777777" w:rsidR="00284308" w:rsidRPr="00B15279" w:rsidRDefault="00EE5CAD">
      <w:pPr>
        <w:spacing w:line="480" w:lineRule="auto"/>
        <w:ind w:right="140"/>
        <w:jc w:val="center"/>
        <w:rPr>
          <w:rFonts w:asciiTheme="majorHAnsi" w:eastAsia="Century Schoolbook" w:hAnsiTheme="majorHAnsi" w:cs="Century Schoolbook"/>
          <w:b/>
        </w:rPr>
      </w:pPr>
      <w:r w:rsidRPr="00B15279">
        <w:rPr>
          <w:rFonts w:asciiTheme="majorHAnsi" w:eastAsia="Century Schoolbook" w:hAnsiTheme="majorHAnsi" w:cs="Century Schoolbook"/>
        </w:rPr>
        <w:t>Source: (Seattle Department of Transportation, 2021)</w:t>
      </w:r>
    </w:p>
    <w:p w14:paraId="000000A7" w14:textId="77777777" w:rsidR="00284308" w:rsidRPr="00B15279" w:rsidRDefault="00EE5CAD">
      <w:pPr>
        <w:spacing w:line="480" w:lineRule="auto"/>
        <w:ind w:right="140" w:firstLine="720"/>
        <w:rPr>
          <w:rFonts w:asciiTheme="majorHAnsi" w:eastAsia="Century Schoolbook" w:hAnsiTheme="majorHAnsi" w:cs="Century Schoolbook"/>
        </w:rPr>
      </w:pPr>
      <w:r w:rsidRPr="00B15279">
        <w:rPr>
          <w:rFonts w:asciiTheme="majorHAnsi" w:eastAsia="Century Schoolbook" w:hAnsiTheme="majorHAnsi" w:cs="Century Schoolbook"/>
        </w:rPr>
        <w:t>In addition to educating individuals about how walking can be done safely, providing individuals with accurate information about walking could increase the confidence of pedestrians. Some of these ideas can include pedestrian friendly signs that can inform</w:t>
      </w:r>
      <w:r w:rsidRPr="00B15279">
        <w:rPr>
          <w:rFonts w:asciiTheme="majorHAnsi" w:eastAsia="Century Schoolbook" w:hAnsiTheme="majorHAnsi" w:cs="Century Schoolbook"/>
        </w:rPr>
        <w:t xml:space="preserve"> pedestrians of ways to navigate and plan routes. Legible London, a program by Transport for London created a pedestrian wayfinding system to help people feel confident about traveling. As described by Transport for London, wayfinding consisted of two phas</w:t>
      </w:r>
      <w:r w:rsidRPr="00B15279">
        <w:rPr>
          <w:rFonts w:asciiTheme="majorHAnsi" w:eastAsia="Century Schoolbook" w:hAnsiTheme="majorHAnsi" w:cs="Century Schoolbook"/>
        </w:rPr>
        <w:t>es, planning and navigating (</w:t>
      </w:r>
      <w:r w:rsidRPr="00B15279">
        <w:rPr>
          <w:rFonts w:asciiTheme="majorHAnsi" w:eastAsia="Century Schoolbook" w:hAnsiTheme="majorHAnsi" w:cs="Century Schoolbook"/>
          <w:szCs w:val="20"/>
          <w:highlight w:val="white"/>
        </w:rPr>
        <w:t>Legible London the birth of modern city wayfinding, n.d.</w:t>
      </w:r>
      <w:r w:rsidRPr="00B15279">
        <w:rPr>
          <w:rFonts w:asciiTheme="majorHAnsi" w:eastAsia="Century Schoolbook" w:hAnsiTheme="majorHAnsi" w:cs="Century Schoolbook"/>
        </w:rPr>
        <w:t>). In a pedestrian survey report, there was a 5 percent measurable increase in walking, 60 percent decrease in people feeling lost, 66 percent increase of Legible London u</w:t>
      </w:r>
      <w:r w:rsidRPr="00B15279">
        <w:rPr>
          <w:rFonts w:asciiTheme="majorHAnsi" w:eastAsia="Century Schoolbook" w:hAnsiTheme="majorHAnsi" w:cs="Century Schoolbook"/>
        </w:rPr>
        <w:t xml:space="preserve">ser knowledge of the surroundings increased, </w:t>
      </w:r>
      <w:r w:rsidRPr="00B15279">
        <w:rPr>
          <w:rFonts w:asciiTheme="majorHAnsi" w:eastAsia="Century Schoolbook" w:hAnsiTheme="majorHAnsi" w:cs="Century Schoolbook"/>
        </w:rPr>
        <w:lastRenderedPageBreak/>
        <w:t>and 16 percent time-savings improvement for pedestrians (Legible London the birth of modern city wayfinding, n.d.). The ideas from Legible London have become the design standard and have now been incorporated in</w:t>
      </w:r>
      <w:r w:rsidRPr="00B15279">
        <w:rPr>
          <w:rFonts w:asciiTheme="majorHAnsi" w:eastAsia="Century Schoolbook" w:hAnsiTheme="majorHAnsi" w:cs="Century Schoolbook"/>
        </w:rPr>
        <w:t xml:space="preserve"> over 50 cities, including New York and Seattle. As part of the strategies developed for PMP, the city of Seattle started Seamless Seattle, which aimed to standardize a plan for a pedestrian wayfinding system. Key design features included heads up mapping </w:t>
      </w:r>
      <w:r w:rsidRPr="00B15279">
        <w:rPr>
          <w:rFonts w:asciiTheme="majorHAnsi" w:eastAsia="Century Schoolbook" w:hAnsiTheme="majorHAnsi" w:cs="Century Schoolbook"/>
        </w:rPr>
        <w:t xml:space="preserve">on street signs to help orient pedestrians, illustrations that showed accessible entrances to transit, proper contrast for legibility, integration of languages in specific areas, and recognizable design for identification. </w:t>
      </w:r>
    </w:p>
    <w:p w14:paraId="000000A8" w14:textId="77777777" w:rsidR="00284308" w:rsidRPr="00B15279" w:rsidRDefault="00EE5CAD">
      <w:pPr>
        <w:spacing w:line="480" w:lineRule="auto"/>
        <w:ind w:right="140"/>
        <w:rPr>
          <w:rFonts w:asciiTheme="majorHAnsi" w:eastAsia="Century Schoolbook" w:hAnsiTheme="majorHAnsi" w:cs="Century Schoolbook"/>
          <w:b/>
          <w:i/>
        </w:rPr>
      </w:pPr>
      <w:r w:rsidRPr="00B15279">
        <w:rPr>
          <w:rFonts w:asciiTheme="majorHAnsi" w:eastAsia="Century Schoolbook" w:hAnsiTheme="majorHAnsi" w:cs="Century Schoolbook"/>
          <w:b/>
          <w:i/>
        </w:rPr>
        <w:t>How Nudging Could Work in Frankl</w:t>
      </w:r>
      <w:r w:rsidRPr="00B15279">
        <w:rPr>
          <w:rFonts w:asciiTheme="majorHAnsi" w:eastAsia="Century Schoolbook" w:hAnsiTheme="majorHAnsi" w:cs="Century Schoolbook"/>
          <w:b/>
          <w:i/>
        </w:rPr>
        <w:t>in Blvd’s Example</w:t>
      </w:r>
    </w:p>
    <w:p w14:paraId="000000A9" w14:textId="1FFCE79F" w:rsidR="00284308" w:rsidRPr="00B15279" w:rsidRDefault="00EE5CAD">
      <w:pPr>
        <w:spacing w:line="480" w:lineRule="auto"/>
        <w:ind w:right="140" w:firstLine="720"/>
        <w:rPr>
          <w:rFonts w:asciiTheme="majorHAnsi" w:eastAsia="Century Schoolbook" w:hAnsiTheme="majorHAnsi" w:cs="Century Schoolbook"/>
        </w:rPr>
      </w:pPr>
      <w:r w:rsidRPr="00B15279">
        <w:rPr>
          <w:rFonts w:asciiTheme="majorHAnsi" w:eastAsia="Century Schoolbook" w:hAnsiTheme="majorHAnsi" w:cs="Century Schoolbook"/>
        </w:rPr>
        <w:t>Ways to shift people’s attitude towards walking on Franklin Blvd. could mean continuing with methods to educate and increase people’s confidence about walking. Currently, SRTS has developed partnerships in several cities in Yolo and Sacra</w:t>
      </w:r>
      <w:r w:rsidRPr="00B15279">
        <w:rPr>
          <w:rFonts w:asciiTheme="majorHAnsi" w:eastAsia="Century Schoolbook" w:hAnsiTheme="majorHAnsi" w:cs="Century Schoolbook"/>
        </w:rPr>
        <w:t xml:space="preserve">mento </w:t>
      </w:r>
      <w:r w:rsidR="00BF460D" w:rsidRPr="00B15279">
        <w:rPr>
          <w:rFonts w:asciiTheme="majorHAnsi" w:eastAsia="Century Schoolbook" w:hAnsiTheme="majorHAnsi" w:cs="Century Schoolbook"/>
        </w:rPr>
        <w:t>C</w:t>
      </w:r>
      <w:r w:rsidRPr="00B15279">
        <w:rPr>
          <w:rFonts w:asciiTheme="majorHAnsi" w:eastAsia="Century Schoolbook" w:hAnsiTheme="majorHAnsi" w:cs="Century Schoolbook"/>
        </w:rPr>
        <w:t>ounty. Elementary and middle schools near Franklin Blvd. now have 880 students who received safe walking and biking skills, 1600 individuals who participated in walk and bike school days, 3 citywide policy wins for safety and mobility, and 35 adults</w:t>
      </w:r>
      <w:r w:rsidRPr="00B15279">
        <w:rPr>
          <w:rFonts w:asciiTheme="majorHAnsi" w:eastAsia="Century Schoolbook" w:hAnsiTheme="majorHAnsi" w:cs="Century Schoolbook"/>
        </w:rPr>
        <w:t xml:space="preserve"> received walking school bus training. Increasing people’s confidence about walking on Franklin Blvd. could include wayfinding signs that direct pedestrians to local businesses. Franklin Blvd. is reported to have over 600 businesses and many of them are re</w:t>
      </w:r>
      <w:r w:rsidRPr="00B15279">
        <w:rPr>
          <w:rFonts w:asciiTheme="majorHAnsi" w:eastAsia="Century Schoolbook" w:hAnsiTheme="majorHAnsi" w:cs="Century Schoolbook"/>
        </w:rPr>
        <w:t xml:space="preserve">staurants and local businesses. Wayfinding signs could help to promote information and places useful for pedestrians. Wayfinding signs do not have to mean that pedestrians have to learn new rules. In New York City for example, the wayfinding system became </w:t>
      </w:r>
      <w:r w:rsidRPr="00B15279">
        <w:rPr>
          <w:rFonts w:asciiTheme="majorHAnsi" w:eastAsia="Century Schoolbook" w:hAnsiTheme="majorHAnsi" w:cs="Century Schoolbook"/>
        </w:rPr>
        <w:t xml:space="preserve">an extension of the existing road and </w:t>
      </w:r>
      <w:r w:rsidRPr="00B15279">
        <w:rPr>
          <w:rFonts w:asciiTheme="majorHAnsi" w:eastAsia="Century Schoolbook" w:hAnsiTheme="majorHAnsi" w:cs="Century Schoolbook"/>
        </w:rPr>
        <w:lastRenderedPageBreak/>
        <w:t>community; the font and color of the design was similar to New York City’s subway maps. Similar to New York City’s case, Franklin Blvd. could create a wayfinding system that builds on existing knowledge of the public t</w:t>
      </w:r>
      <w:r w:rsidRPr="00B15279">
        <w:rPr>
          <w:rFonts w:asciiTheme="majorHAnsi" w:eastAsia="Century Schoolbook" w:hAnsiTheme="majorHAnsi" w:cs="Century Schoolbook"/>
        </w:rPr>
        <w:t xml:space="preserve">ransit system. </w:t>
      </w:r>
    </w:p>
    <w:p w14:paraId="000000AA" w14:textId="77777777" w:rsidR="00284308" w:rsidRPr="00B15279" w:rsidRDefault="00EE5CAD">
      <w:pPr>
        <w:spacing w:line="480" w:lineRule="auto"/>
        <w:ind w:right="140"/>
        <w:jc w:val="center"/>
        <w:rPr>
          <w:rFonts w:asciiTheme="majorHAnsi" w:eastAsia="Century Schoolbook" w:hAnsiTheme="majorHAnsi" w:cs="Century Schoolbook"/>
          <w:b/>
          <w:color w:val="000000" w:themeColor="text1"/>
        </w:rPr>
      </w:pPr>
      <w:r w:rsidRPr="00B15279">
        <w:rPr>
          <w:rFonts w:asciiTheme="majorHAnsi" w:eastAsia="Century Schoolbook" w:hAnsiTheme="majorHAnsi" w:cs="Century Schoolbook"/>
          <w:b/>
          <w:color w:val="000000" w:themeColor="text1"/>
        </w:rPr>
        <w:t>Table 10: Examples of Wayfinding Systems in New York City</w:t>
      </w:r>
    </w:p>
    <w:p w14:paraId="000000AB" w14:textId="77777777" w:rsidR="00284308" w:rsidRPr="00B15279" w:rsidRDefault="00EE5CAD">
      <w:pPr>
        <w:spacing w:line="480" w:lineRule="auto"/>
        <w:ind w:right="140"/>
        <w:jc w:val="center"/>
        <w:rPr>
          <w:rFonts w:asciiTheme="majorHAnsi" w:eastAsia="Century Schoolbook" w:hAnsiTheme="majorHAnsi" w:cs="Century Schoolbook"/>
        </w:rPr>
      </w:pPr>
      <w:r w:rsidRPr="00B15279">
        <w:rPr>
          <w:rFonts w:asciiTheme="majorHAnsi" w:eastAsia="Century Schoolbook" w:hAnsiTheme="majorHAnsi" w:cs="Century Schoolbook"/>
          <w:noProof/>
        </w:rPr>
        <w:drawing>
          <wp:inline distT="114300" distB="114300" distL="114300" distR="114300">
            <wp:extent cx="5406210" cy="3062585"/>
            <wp:effectExtent l="0" t="0" r="0" b="0"/>
            <wp:docPr id="1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06210" cy="3062585"/>
                    </a:xfrm>
                    <a:prstGeom prst="rect">
                      <a:avLst/>
                    </a:prstGeom>
                    <a:ln/>
                  </pic:spPr>
                </pic:pic>
              </a:graphicData>
            </a:graphic>
          </wp:inline>
        </w:drawing>
      </w:r>
    </w:p>
    <w:p w14:paraId="000000AC" w14:textId="77777777" w:rsidR="00284308" w:rsidRPr="00B15279" w:rsidRDefault="00EE5CAD">
      <w:pPr>
        <w:spacing w:line="480" w:lineRule="auto"/>
        <w:ind w:right="140"/>
        <w:jc w:val="center"/>
        <w:rPr>
          <w:rFonts w:asciiTheme="majorHAnsi" w:eastAsia="Century Schoolbook" w:hAnsiTheme="majorHAnsi" w:cs="Century Schoolbook"/>
        </w:rPr>
      </w:pPr>
      <w:r w:rsidRPr="00B15279">
        <w:rPr>
          <w:rFonts w:asciiTheme="majorHAnsi" w:eastAsia="Century Schoolbook" w:hAnsiTheme="majorHAnsi" w:cs="Century Schoolbook"/>
        </w:rPr>
        <w:t>Source: (New York City Department of Transportation Street Design Manual, 2020)</w:t>
      </w:r>
    </w:p>
    <w:p w14:paraId="000000AD" w14:textId="77777777" w:rsidR="00284308" w:rsidRPr="00B15279" w:rsidRDefault="00EE5CAD">
      <w:pPr>
        <w:spacing w:line="480" w:lineRule="auto"/>
        <w:ind w:right="140" w:firstLine="720"/>
        <w:rPr>
          <w:rFonts w:asciiTheme="majorHAnsi" w:eastAsia="Century Schoolbook" w:hAnsiTheme="majorHAnsi" w:cs="Century Schoolbook"/>
          <w:b/>
          <w:color w:val="000000" w:themeColor="text1"/>
        </w:rPr>
      </w:pPr>
      <w:r w:rsidRPr="00B15279">
        <w:rPr>
          <w:rFonts w:asciiTheme="majorHAnsi" w:eastAsia="Century Schoolbook" w:hAnsiTheme="majorHAnsi" w:cs="Century Schoolbook"/>
          <w:b/>
          <w:color w:val="000000" w:themeColor="text1"/>
        </w:rPr>
        <w:t>Step Five: Final Recommendation for Franklin Blvd.</w:t>
      </w:r>
    </w:p>
    <w:p w14:paraId="000000AE" w14:textId="77777777" w:rsidR="00284308" w:rsidRPr="00B15279" w:rsidRDefault="00EE5CAD">
      <w:pPr>
        <w:spacing w:line="480" w:lineRule="auto"/>
        <w:ind w:right="140" w:firstLine="720"/>
        <w:rPr>
          <w:rFonts w:asciiTheme="majorHAnsi" w:eastAsia="Century Schoolbook" w:hAnsiTheme="majorHAnsi" w:cs="Century Schoolbook"/>
        </w:rPr>
      </w:pPr>
      <w:r w:rsidRPr="00B15279">
        <w:rPr>
          <w:rFonts w:asciiTheme="majorHAnsi" w:eastAsia="Century Schoolbook" w:hAnsiTheme="majorHAnsi" w:cs="Century Schoolbook"/>
        </w:rPr>
        <w:t>Increasing the walkability of streets can have be</w:t>
      </w:r>
      <w:r w:rsidRPr="00B15279">
        <w:rPr>
          <w:rFonts w:asciiTheme="majorHAnsi" w:eastAsia="Century Schoolbook" w:hAnsiTheme="majorHAnsi" w:cs="Century Schoolbook"/>
        </w:rPr>
        <w:t>nefits that extend beyond improving the neighborhood, the people and the environment in the long term. Based on the recommendations and the criteria used to examine the alternatives, prioritizing the safety of pedestrians by implementing median refuge isla</w:t>
      </w:r>
      <w:r w:rsidRPr="00B15279">
        <w:rPr>
          <w:rFonts w:asciiTheme="majorHAnsi" w:eastAsia="Century Schoolbook" w:hAnsiTheme="majorHAnsi" w:cs="Century Schoolbook"/>
        </w:rPr>
        <w:t>nds would be the most equitable approach to ensure people with disabilities, children and older residents are able to safely walk. Individuals who do not have the choice but to walk are more likely to be lower income. Safer crosswalks will reduce the dispr</w:t>
      </w:r>
      <w:r w:rsidRPr="00B15279">
        <w:rPr>
          <w:rFonts w:asciiTheme="majorHAnsi" w:eastAsia="Century Schoolbook" w:hAnsiTheme="majorHAnsi" w:cs="Century Schoolbook"/>
        </w:rPr>
        <w:t xml:space="preserve">oportionate number of pedestrian fatalities that occur in BIPOC neighborhoods, </w:t>
      </w:r>
      <w:r w:rsidRPr="00B15279">
        <w:rPr>
          <w:rFonts w:asciiTheme="majorHAnsi" w:eastAsia="Century Schoolbook" w:hAnsiTheme="majorHAnsi" w:cs="Century Schoolbook"/>
        </w:rPr>
        <w:lastRenderedPageBreak/>
        <w:t>which would also make walking a reliable mode of transportation to go to work, for leisure activities, and to access amenities. The recommendation would be politically acceptabl</w:t>
      </w:r>
      <w:r w:rsidRPr="00B15279">
        <w:rPr>
          <w:rFonts w:asciiTheme="majorHAnsi" w:eastAsia="Century Schoolbook" w:hAnsiTheme="majorHAnsi" w:cs="Century Schoolbook"/>
        </w:rPr>
        <w:t xml:space="preserve">e since median refuge islands have already been implemented as a traffic calming strategy in Sacramento. As mentioned earlier, SACOG would not be able to administer median refuge islands. However, the City of Sacramento could apply for funding from SACOG, </w:t>
      </w:r>
      <w:r w:rsidRPr="00B15279">
        <w:rPr>
          <w:rFonts w:asciiTheme="majorHAnsi" w:eastAsia="Century Schoolbook" w:hAnsiTheme="majorHAnsi" w:cs="Century Schoolbook"/>
        </w:rPr>
        <w:t xml:space="preserve">or find external funds to increase walkability. In comparison to the alternatives that would nudge individuals to walk, median refuge islands would be a cost-effective choice in terms of benefits because projects are not limited to locations near schools, </w:t>
      </w:r>
      <w:r w:rsidRPr="00B15279">
        <w:rPr>
          <w:rFonts w:asciiTheme="majorHAnsi" w:eastAsia="Century Schoolbook" w:hAnsiTheme="majorHAnsi" w:cs="Century Schoolbook"/>
        </w:rPr>
        <w:t>but streets with a higher rate of injuries. In addition, increasing the safety of crosswalks where disadvantaged communities may walk longer distances to amenities could help to improve people’s perception of walking and accessing crosswalks, thereby estab</w:t>
      </w:r>
      <w:r w:rsidRPr="00B15279">
        <w:rPr>
          <w:rFonts w:asciiTheme="majorHAnsi" w:eastAsia="Century Schoolbook" w:hAnsiTheme="majorHAnsi" w:cs="Century Schoolbook"/>
        </w:rPr>
        <w:t>lishing equity in walkability. Median refuge islands have been shown to reduce pedestrian crashes by up to 46 percent (America Walks). New York’s Safe Routes to School projects on the other hand, showed a 44 percent decline in child pedestrian injuries. It</w:t>
      </w:r>
      <w:r w:rsidRPr="00B15279">
        <w:rPr>
          <w:rFonts w:asciiTheme="majorHAnsi" w:eastAsia="Century Schoolbook" w:hAnsiTheme="majorHAnsi" w:cs="Century Schoolbook"/>
        </w:rPr>
        <w:t xml:space="preserve"> is interesting to note however, that although SRTS programs in New York cost $10 million, the estimated reduction in health costs for injury, disability and death was $221 million (Active Living Research, 2015). Projects focused on increasing walkability </w:t>
      </w:r>
      <w:r w:rsidRPr="00B15279">
        <w:rPr>
          <w:rFonts w:asciiTheme="majorHAnsi" w:eastAsia="Century Schoolbook" w:hAnsiTheme="majorHAnsi" w:cs="Century Schoolbook"/>
        </w:rPr>
        <w:t xml:space="preserve">by improving the safety for pedestrians will cost more, but to ensure walking is a public good should mean considering projects for more than the traditional benefits. The myriad benefits of increasing walkability include access to cleaner air, ability to </w:t>
      </w:r>
      <w:r w:rsidRPr="00B15279">
        <w:rPr>
          <w:rFonts w:asciiTheme="majorHAnsi" w:eastAsia="Century Schoolbook" w:hAnsiTheme="majorHAnsi" w:cs="Century Schoolbook"/>
        </w:rPr>
        <w:t xml:space="preserve">maintain healthier lifestyles, access to social networks, and job opportunities. These benefits will be </w:t>
      </w:r>
      <w:r w:rsidRPr="00B15279">
        <w:rPr>
          <w:rFonts w:asciiTheme="majorHAnsi" w:eastAsia="Century Schoolbook" w:hAnsiTheme="majorHAnsi" w:cs="Century Schoolbook"/>
        </w:rPr>
        <w:lastRenderedPageBreak/>
        <w:t xml:space="preserve">difficult to measure, but would address long-term city planning inequity issues that could be exasperated in the region. </w:t>
      </w:r>
    </w:p>
    <w:p w14:paraId="000000AF" w14:textId="3880AF51" w:rsidR="00284308" w:rsidRPr="00B15279" w:rsidRDefault="00EE5CAD">
      <w:pPr>
        <w:spacing w:line="480" w:lineRule="auto"/>
        <w:ind w:right="140" w:firstLine="720"/>
        <w:rPr>
          <w:rFonts w:asciiTheme="majorHAnsi" w:eastAsia="Century Schoolbook" w:hAnsiTheme="majorHAnsi" w:cs="Century Schoolbook"/>
        </w:rPr>
      </w:pPr>
      <w:r w:rsidRPr="00B15279">
        <w:rPr>
          <w:rFonts w:asciiTheme="majorHAnsi" w:eastAsia="Century Schoolbook" w:hAnsiTheme="majorHAnsi" w:cs="Century Schoolbook"/>
        </w:rPr>
        <w:t>While SACOG can support strate</w:t>
      </w:r>
      <w:r w:rsidRPr="00B15279">
        <w:rPr>
          <w:rFonts w:asciiTheme="majorHAnsi" w:eastAsia="Century Schoolbook" w:hAnsiTheme="majorHAnsi" w:cs="Century Schoolbook"/>
        </w:rPr>
        <w:t>gies to increase walkability by providing funds to local cities and counties, there also needs to be organizational changes to support walkability in disadvantaged neighborhood, such as considering regional plans not only as a means to obtain federal and s</w:t>
      </w:r>
      <w:r w:rsidRPr="00B15279">
        <w:rPr>
          <w:rFonts w:asciiTheme="majorHAnsi" w:eastAsia="Century Schoolbook" w:hAnsiTheme="majorHAnsi" w:cs="Century Schoolbook"/>
        </w:rPr>
        <w:t>tate funding, but to prioritize goals, leverage available resources, and provide performance measures. As discussed earlier regarding the costs and benefits, projects aiming to achieve equity should be measured and approached on the basis of need. SACOG ha</w:t>
      </w:r>
      <w:r w:rsidRPr="00B15279">
        <w:rPr>
          <w:rFonts w:asciiTheme="majorHAnsi" w:eastAsia="Century Schoolbook" w:hAnsiTheme="majorHAnsi" w:cs="Century Schoolbook"/>
        </w:rPr>
        <w:t xml:space="preserve">s the ability to do these things and has explored changing the funding application requirement. For example, SACOG has set aside funds to develop the Non-Competitive Category for the 2021 Regional </w:t>
      </w:r>
      <w:r w:rsidR="00BF460D" w:rsidRPr="00B15279">
        <w:rPr>
          <w:rFonts w:asciiTheme="majorHAnsi" w:eastAsia="Century Schoolbook" w:hAnsiTheme="majorHAnsi" w:cs="Century Schoolbook"/>
        </w:rPr>
        <w:t>a</w:t>
      </w:r>
      <w:r w:rsidRPr="00B15279">
        <w:rPr>
          <w:rFonts w:asciiTheme="majorHAnsi" w:eastAsia="Century Schoolbook" w:hAnsiTheme="majorHAnsi" w:cs="Century Schoolbook"/>
        </w:rPr>
        <w:t>nd Community Design Programs, which allows cities and coun</w:t>
      </w:r>
      <w:r w:rsidRPr="00B15279">
        <w:rPr>
          <w:rFonts w:asciiTheme="majorHAnsi" w:eastAsia="Century Schoolbook" w:hAnsiTheme="majorHAnsi" w:cs="Century Schoolbook"/>
        </w:rPr>
        <w:t>ties between $100,000 and $500,000 for projects. The category allowed cities and counties to apply for projects based on jurisdictional needs so the cities and counties could later compete for larger funds. Setting aside funds for the Non-Competitive Categ</w:t>
      </w:r>
      <w:r w:rsidRPr="00B15279">
        <w:rPr>
          <w:rFonts w:asciiTheme="majorHAnsi" w:eastAsia="Century Schoolbook" w:hAnsiTheme="majorHAnsi" w:cs="Century Schoolbook"/>
        </w:rPr>
        <w:t>ory, however, is not sustainable for the long term. Application requests are still measured against the project’s Benefit/Cost Ratio (BCR) and the limited funding set aside for recipients will mean project ideas will have conservative changes. An example o</w:t>
      </w:r>
      <w:r w:rsidRPr="00B15279">
        <w:rPr>
          <w:rFonts w:asciiTheme="majorHAnsi" w:eastAsia="Century Schoolbook" w:hAnsiTheme="majorHAnsi" w:cs="Century Schoolbook"/>
        </w:rPr>
        <w:t>f a California state program that offers funding for programs and does not require a BCR is the Caltrans Highway Safety Improvement Program (HSIP). HSIP has two application categories, the first requires a BCR. The second, called Funding Set-asides (SA), d</w:t>
      </w:r>
      <w:r w:rsidRPr="00B15279">
        <w:rPr>
          <w:rFonts w:asciiTheme="majorHAnsi" w:eastAsia="Century Schoolbook" w:hAnsiTheme="majorHAnsi" w:cs="Century Schoolbook"/>
        </w:rPr>
        <w:t xml:space="preserve">oes not require BCR. In HSIP’s 2020 Cycle 10 Call for Projects (HSIP, 2020), SA included projects seeking funds for pedestrian crossing enhancements. </w:t>
      </w:r>
      <w:r w:rsidRPr="00B15279">
        <w:rPr>
          <w:rFonts w:asciiTheme="majorHAnsi" w:eastAsia="Century Schoolbook" w:hAnsiTheme="majorHAnsi" w:cs="Century Schoolbook"/>
        </w:rPr>
        <w:lastRenderedPageBreak/>
        <w:t>Similarly</w:t>
      </w:r>
      <w:r w:rsidR="00BF460D" w:rsidRPr="00B15279">
        <w:rPr>
          <w:rFonts w:asciiTheme="majorHAnsi" w:eastAsia="Century Schoolbook" w:hAnsiTheme="majorHAnsi" w:cs="Century Schoolbook"/>
        </w:rPr>
        <w:t>,</w:t>
      </w:r>
      <w:r w:rsidRPr="00B15279">
        <w:rPr>
          <w:rFonts w:asciiTheme="majorHAnsi" w:eastAsia="Century Schoolbook" w:hAnsiTheme="majorHAnsi" w:cs="Century Schoolbook"/>
        </w:rPr>
        <w:t xml:space="preserve"> to HSIP, SACOG should consider an application category that is not based on a BCR to fund cities</w:t>
      </w:r>
      <w:r w:rsidRPr="00B15279">
        <w:rPr>
          <w:rFonts w:asciiTheme="majorHAnsi" w:eastAsia="Century Schoolbook" w:hAnsiTheme="majorHAnsi" w:cs="Century Schoolbook"/>
        </w:rPr>
        <w:t xml:space="preserve"> and counties. </w:t>
      </w:r>
    </w:p>
    <w:p w14:paraId="000000B0" w14:textId="77777777" w:rsidR="00284308" w:rsidRPr="00B15279" w:rsidRDefault="00EE5CAD">
      <w:pPr>
        <w:spacing w:line="480" w:lineRule="auto"/>
        <w:ind w:right="140"/>
        <w:rPr>
          <w:rFonts w:asciiTheme="majorHAnsi" w:eastAsia="Century Schoolbook" w:hAnsiTheme="majorHAnsi" w:cs="Century Schoolbook"/>
          <w:b/>
          <w:i/>
        </w:rPr>
      </w:pPr>
      <w:r w:rsidRPr="00B15279">
        <w:rPr>
          <w:rFonts w:asciiTheme="majorHAnsi" w:eastAsia="Century Schoolbook" w:hAnsiTheme="majorHAnsi" w:cs="Century Schoolbook"/>
          <w:b/>
          <w:i/>
        </w:rPr>
        <w:t>Conclusion</w:t>
      </w:r>
    </w:p>
    <w:p w14:paraId="000000B1" w14:textId="77777777" w:rsidR="00284308" w:rsidRPr="00B15279" w:rsidRDefault="00EE5CAD">
      <w:pPr>
        <w:spacing w:line="480" w:lineRule="auto"/>
        <w:ind w:firstLine="720"/>
        <w:rPr>
          <w:rFonts w:asciiTheme="majorHAnsi" w:eastAsia="Century Schoolbook" w:hAnsiTheme="majorHAnsi" w:cs="Century Schoolbook"/>
        </w:rPr>
      </w:pPr>
      <w:r w:rsidRPr="00B15279">
        <w:rPr>
          <w:rFonts w:asciiTheme="majorHAnsi" w:eastAsia="Century Schoolbook" w:hAnsiTheme="majorHAnsi" w:cs="Century Schoolbook"/>
          <w:color w:val="0E101A"/>
        </w:rPr>
        <w:t>Rethinking neighborhood planning to encourage walkability is important as the population continues to increase in the Sacramento region. While the region will need to continue to build more homes to address population growth, existing, less walkable neighb</w:t>
      </w:r>
      <w:r w:rsidRPr="00B15279">
        <w:rPr>
          <w:rFonts w:asciiTheme="majorHAnsi" w:eastAsia="Century Schoolbook" w:hAnsiTheme="majorHAnsi" w:cs="Century Schoolbook"/>
          <w:color w:val="0E101A"/>
        </w:rPr>
        <w:t>orhoods should not be left behind. It is true that SACOG is unable to administer projects that increase walkability and has explored various methods to fund cities and counties. Changing the way SACOG funds recipients to rely less on the BCR as part of the</w:t>
      </w:r>
      <w:r w:rsidRPr="00B15279">
        <w:rPr>
          <w:rFonts w:asciiTheme="majorHAnsi" w:eastAsia="Century Schoolbook" w:hAnsiTheme="majorHAnsi" w:cs="Century Schoolbook"/>
          <w:color w:val="0E101A"/>
        </w:rPr>
        <w:t xml:space="preserve"> selection criteria, however, will help cities and counties have the opportunity to address street planning inequities. Although it will take time to increase walkability for disadvantaged communities such as Franklin Blvd, SACOG’s decisions now will serve</w:t>
      </w:r>
      <w:r w:rsidRPr="00B15279">
        <w:rPr>
          <w:rFonts w:asciiTheme="majorHAnsi" w:eastAsia="Century Schoolbook" w:hAnsiTheme="majorHAnsi" w:cs="Century Schoolbook"/>
          <w:color w:val="0E101A"/>
        </w:rPr>
        <w:t xml:space="preserve"> as an example and guide for other MPOs in the region.</w:t>
      </w:r>
    </w:p>
    <w:p w14:paraId="000000B2" w14:textId="77777777" w:rsidR="00284308" w:rsidRPr="00B15279" w:rsidRDefault="00284308">
      <w:pPr>
        <w:spacing w:line="480" w:lineRule="auto"/>
        <w:ind w:right="140"/>
        <w:rPr>
          <w:rFonts w:asciiTheme="majorHAnsi" w:eastAsia="Century Schoolbook" w:hAnsiTheme="majorHAnsi" w:cs="Century Schoolbook"/>
          <w:color w:val="0E101A"/>
        </w:rPr>
      </w:pPr>
    </w:p>
    <w:p w14:paraId="000000B3" w14:textId="77777777" w:rsidR="00284308" w:rsidRPr="00B15279" w:rsidRDefault="00284308">
      <w:pPr>
        <w:spacing w:line="480" w:lineRule="auto"/>
        <w:ind w:right="140"/>
        <w:rPr>
          <w:rFonts w:asciiTheme="majorHAnsi" w:eastAsia="Century Schoolbook" w:hAnsiTheme="majorHAnsi" w:cs="Century Schoolbook"/>
          <w:color w:val="0E101A"/>
        </w:rPr>
      </w:pPr>
    </w:p>
    <w:p w14:paraId="000000B4" w14:textId="77777777" w:rsidR="00284308" w:rsidRPr="00B15279" w:rsidRDefault="00284308">
      <w:pPr>
        <w:spacing w:line="480" w:lineRule="auto"/>
        <w:ind w:right="140"/>
        <w:rPr>
          <w:rFonts w:asciiTheme="majorHAnsi" w:eastAsia="Century Schoolbook" w:hAnsiTheme="majorHAnsi" w:cs="Century Schoolbook"/>
          <w:color w:val="0E101A"/>
        </w:rPr>
      </w:pPr>
    </w:p>
    <w:p w14:paraId="000000B5" w14:textId="3BD29AC1" w:rsidR="00284308" w:rsidRPr="00B15279" w:rsidRDefault="00284308">
      <w:pPr>
        <w:spacing w:line="480" w:lineRule="auto"/>
        <w:ind w:right="140"/>
        <w:rPr>
          <w:rFonts w:asciiTheme="majorHAnsi" w:eastAsia="Century Schoolbook" w:hAnsiTheme="majorHAnsi" w:cs="Century Schoolbook"/>
          <w:color w:val="0E101A"/>
        </w:rPr>
      </w:pPr>
    </w:p>
    <w:p w14:paraId="1987C046" w14:textId="07E7EEF6" w:rsidR="00BF460D" w:rsidRPr="00B15279" w:rsidRDefault="00BF460D">
      <w:pPr>
        <w:spacing w:line="480" w:lineRule="auto"/>
        <w:ind w:right="140"/>
        <w:rPr>
          <w:rFonts w:asciiTheme="majorHAnsi" w:eastAsia="Century Schoolbook" w:hAnsiTheme="majorHAnsi" w:cs="Century Schoolbook"/>
          <w:color w:val="0E101A"/>
        </w:rPr>
      </w:pPr>
    </w:p>
    <w:p w14:paraId="67C70950" w14:textId="59BD39DF" w:rsidR="00BF460D" w:rsidRPr="00B15279" w:rsidRDefault="00BF460D">
      <w:pPr>
        <w:spacing w:line="480" w:lineRule="auto"/>
        <w:ind w:right="140"/>
        <w:rPr>
          <w:rFonts w:asciiTheme="majorHAnsi" w:eastAsia="Century Schoolbook" w:hAnsiTheme="majorHAnsi" w:cs="Century Schoolbook"/>
          <w:color w:val="0E101A"/>
        </w:rPr>
      </w:pPr>
    </w:p>
    <w:p w14:paraId="4B620ADC" w14:textId="0B477484" w:rsidR="00BF460D" w:rsidRPr="00B15279" w:rsidRDefault="00BF460D">
      <w:pPr>
        <w:spacing w:line="480" w:lineRule="auto"/>
        <w:ind w:right="140"/>
        <w:rPr>
          <w:rFonts w:asciiTheme="majorHAnsi" w:eastAsia="Century Schoolbook" w:hAnsiTheme="majorHAnsi" w:cs="Century Schoolbook"/>
          <w:color w:val="0E101A"/>
        </w:rPr>
      </w:pPr>
    </w:p>
    <w:p w14:paraId="4F4D9038" w14:textId="6DA28AE2" w:rsidR="00BF460D" w:rsidRPr="00B15279" w:rsidRDefault="00BF460D">
      <w:pPr>
        <w:spacing w:line="480" w:lineRule="auto"/>
        <w:ind w:right="140"/>
        <w:rPr>
          <w:rFonts w:asciiTheme="majorHAnsi" w:eastAsia="Century Schoolbook" w:hAnsiTheme="majorHAnsi" w:cs="Century Schoolbook"/>
          <w:color w:val="0E101A"/>
        </w:rPr>
      </w:pPr>
    </w:p>
    <w:p w14:paraId="000000B7" w14:textId="5B5CE5AD" w:rsidR="00284308" w:rsidRDefault="00284308">
      <w:pPr>
        <w:pBdr>
          <w:top w:val="nil"/>
          <w:left w:val="nil"/>
          <w:bottom w:val="nil"/>
          <w:right w:val="nil"/>
          <w:between w:val="nil"/>
        </w:pBdr>
        <w:rPr>
          <w:rFonts w:asciiTheme="majorHAnsi" w:eastAsia="Century Schoolbook" w:hAnsiTheme="majorHAnsi" w:cs="Century Schoolbook"/>
          <w:color w:val="0E101A"/>
        </w:rPr>
      </w:pPr>
    </w:p>
    <w:p w14:paraId="15E40FE4" w14:textId="77777777" w:rsidR="000246AF" w:rsidRPr="00B15279" w:rsidRDefault="000246AF">
      <w:pPr>
        <w:pBdr>
          <w:top w:val="nil"/>
          <w:left w:val="nil"/>
          <w:bottom w:val="nil"/>
          <w:right w:val="nil"/>
          <w:between w:val="nil"/>
        </w:pBdr>
        <w:rPr>
          <w:rFonts w:asciiTheme="majorHAnsi" w:eastAsia="Century Schoolbook" w:hAnsiTheme="majorHAnsi" w:cs="Century Schoolbook"/>
          <w:color w:val="0E101A"/>
        </w:rPr>
      </w:pPr>
    </w:p>
    <w:p w14:paraId="000000B8" w14:textId="77777777" w:rsidR="00284308" w:rsidRPr="00B15279" w:rsidRDefault="00284308">
      <w:pPr>
        <w:pBdr>
          <w:top w:val="nil"/>
          <w:left w:val="nil"/>
          <w:bottom w:val="nil"/>
          <w:right w:val="nil"/>
          <w:between w:val="nil"/>
        </w:pBdr>
        <w:rPr>
          <w:rFonts w:asciiTheme="majorHAnsi" w:eastAsia="Century Schoolbook" w:hAnsiTheme="majorHAnsi" w:cs="Century Schoolbook"/>
          <w:color w:val="0E101A"/>
        </w:rPr>
      </w:pPr>
    </w:p>
    <w:p w14:paraId="000000B9" w14:textId="77777777" w:rsidR="00284308" w:rsidRPr="00B15279" w:rsidRDefault="00284308">
      <w:pPr>
        <w:pBdr>
          <w:top w:val="nil"/>
          <w:left w:val="nil"/>
          <w:bottom w:val="nil"/>
          <w:right w:val="nil"/>
          <w:between w:val="nil"/>
        </w:pBdr>
        <w:rPr>
          <w:rFonts w:asciiTheme="majorHAnsi" w:eastAsia="Century Schoolbook" w:hAnsiTheme="majorHAnsi" w:cs="Century Schoolbook"/>
          <w:color w:val="0E101A"/>
        </w:rPr>
      </w:pPr>
    </w:p>
    <w:p w14:paraId="000000BA" w14:textId="77777777" w:rsidR="00284308" w:rsidRPr="00B15279" w:rsidRDefault="00EE5CAD">
      <w:pPr>
        <w:pBdr>
          <w:top w:val="nil"/>
          <w:left w:val="nil"/>
          <w:bottom w:val="nil"/>
          <w:right w:val="nil"/>
          <w:between w:val="nil"/>
        </w:pBdr>
        <w:jc w:val="center"/>
        <w:rPr>
          <w:rFonts w:asciiTheme="majorHAnsi" w:eastAsia="Century Schoolbook" w:hAnsiTheme="majorHAnsi" w:cs="Century Schoolbook"/>
          <w:b/>
        </w:rPr>
      </w:pPr>
      <w:r w:rsidRPr="00B15279">
        <w:rPr>
          <w:rFonts w:asciiTheme="majorHAnsi" w:eastAsia="Century Schoolbook" w:hAnsiTheme="majorHAnsi" w:cs="Century Schoolbook"/>
          <w:b/>
        </w:rPr>
        <w:lastRenderedPageBreak/>
        <w:t xml:space="preserve">References </w:t>
      </w:r>
    </w:p>
    <w:p w14:paraId="000000BB" w14:textId="77777777" w:rsidR="00284308" w:rsidRPr="00B15279" w:rsidRDefault="00284308">
      <w:pPr>
        <w:pBdr>
          <w:top w:val="nil"/>
          <w:left w:val="nil"/>
          <w:bottom w:val="nil"/>
          <w:right w:val="nil"/>
          <w:between w:val="nil"/>
        </w:pBdr>
        <w:jc w:val="center"/>
        <w:rPr>
          <w:rFonts w:asciiTheme="majorHAnsi" w:eastAsia="Century Schoolbook" w:hAnsiTheme="majorHAnsi" w:cs="Century Schoolbook"/>
          <w:b/>
        </w:rPr>
      </w:pPr>
    </w:p>
    <w:p w14:paraId="000000BC" w14:textId="77777777" w:rsidR="00284308" w:rsidRPr="00B15279" w:rsidRDefault="00EE5CAD">
      <w:pPr>
        <w:pBdr>
          <w:top w:val="nil"/>
          <w:left w:val="nil"/>
          <w:bottom w:val="nil"/>
          <w:right w:val="nil"/>
          <w:between w:val="nil"/>
        </w:pBdr>
        <w:ind w:left="720" w:hanging="720"/>
        <w:rPr>
          <w:rFonts w:asciiTheme="majorHAnsi" w:eastAsia="Century Schoolbook" w:hAnsiTheme="majorHAnsi" w:cs="Century Schoolbook"/>
          <w:highlight w:val="white"/>
        </w:rPr>
      </w:pPr>
      <w:r w:rsidRPr="00B15279">
        <w:rPr>
          <w:rFonts w:asciiTheme="majorHAnsi" w:eastAsia="Century Schoolbook" w:hAnsiTheme="majorHAnsi" w:cs="Century Schoolbook"/>
          <w:i/>
          <w:highlight w:val="white"/>
        </w:rPr>
        <w:t>About Us</w:t>
      </w:r>
      <w:r w:rsidRPr="00B15279">
        <w:rPr>
          <w:rFonts w:asciiTheme="majorHAnsi" w:eastAsia="Century Schoolbook" w:hAnsiTheme="majorHAnsi" w:cs="Century Schoolbook"/>
          <w:highlight w:val="white"/>
        </w:rPr>
        <w:t xml:space="preserve">. The Franklin Neighborhood Development Corporation. Retrieved from </w:t>
      </w:r>
      <w:hyperlink r:id="rId18">
        <w:r w:rsidRPr="00B15279">
          <w:rPr>
            <w:rFonts w:asciiTheme="majorHAnsi" w:eastAsia="Century Schoolbook" w:hAnsiTheme="majorHAnsi" w:cs="Century Schoolbook"/>
            <w:highlight w:val="white"/>
          </w:rPr>
          <w:t>https://www.franklinblvddistrict.com/about</w:t>
        </w:r>
      </w:hyperlink>
      <w:r w:rsidRPr="00B15279">
        <w:rPr>
          <w:rFonts w:asciiTheme="majorHAnsi" w:eastAsia="Century Schoolbook" w:hAnsiTheme="majorHAnsi" w:cs="Century Schoolbook"/>
          <w:highlight w:val="white"/>
        </w:rPr>
        <w:t>.</w:t>
      </w:r>
    </w:p>
    <w:p w14:paraId="000000BD" w14:textId="77777777" w:rsidR="00284308" w:rsidRPr="00B15279" w:rsidRDefault="00284308">
      <w:pPr>
        <w:pBdr>
          <w:top w:val="nil"/>
          <w:left w:val="nil"/>
          <w:bottom w:val="nil"/>
          <w:right w:val="nil"/>
          <w:between w:val="nil"/>
        </w:pBdr>
        <w:rPr>
          <w:rFonts w:asciiTheme="majorHAnsi" w:eastAsia="Century Schoolbook" w:hAnsiTheme="majorHAnsi" w:cs="Century Schoolbook"/>
          <w:szCs w:val="20"/>
          <w:highlight w:val="white"/>
        </w:rPr>
      </w:pPr>
    </w:p>
    <w:p w14:paraId="000000BE" w14:textId="77777777" w:rsidR="00284308" w:rsidRPr="00B15279" w:rsidRDefault="00284308">
      <w:pPr>
        <w:pBdr>
          <w:top w:val="nil"/>
          <w:left w:val="nil"/>
          <w:bottom w:val="nil"/>
          <w:right w:val="nil"/>
          <w:between w:val="nil"/>
        </w:pBdr>
        <w:rPr>
          <w:rFonts w:asciiTheme="majorHAnsi" w:eastAsia="Century Schoolbook" w:hAnsiTheme="majorHAnsi" w:cs="Century Schoolbook"/>
          <w:szCs w:val="20"/>
          <w:highlight w:val="white"/>
        </w:rPr>
      </w:pPr>
    </w:p>
    <w:p w14:paraId="000000BF" w14:textId="352D55FF" w:rsidR="00284308" w:rsidRPr="00B15279" w:rsidRDefault="00EE5CAD">
      <w:pPr>
        <w:ind w:left="720" w:hanging="720"/>
        <w:rPr>
          <w:rFonts w:asciiTheme="majorHAnsi" w:eastAsia="Century Schoolbook" w:hAnsiTheme="majorHAnsi" w:cs="Century Schoolbook"/>
        </w:rPr>
      </w:pPr>
      <w:r w:rsidRPr="00B15279">
        <w:rPr>
          <w:rFonts w:asciiTheme="majorHAnsi" w:eastAsia="Century Schoolbook" w:hAnsiTheme="majorHAnsi" w:cs="Century Schoolbook"/>
          <w:highlight w:val="white"/>
        </w:rPr>
        <w:t xml:space="preserve">Applied Information Group. n.d. </w:t>
      </w:r>
      <w:r w:rsidRPr="00B15279">
        <w:rPr>
          <w:rFonts w:asciiTheme="majorHAnsi" w:eastAsia="Century Schoolbook" w:hAnsiTheme="majorHAnsi" w:cs="Century Schoolbook"/>
          <w:i/>
          <w:highlight w:val="white"/>
        </w:rPr>
        <w:t>Legible London the birth of modern city wayfinding</w:t>
      </w:r>
      <w:r w:rsidRPr="00B15279">
        <w:rPr>
          <w:rFonts w:asciiTheme="majorHAnsi" w:eastAsia="Century Schoolbook" w:hAnsiTheme="majorHAnsi" w:cs="Century Schoolbook"/>
          <w:highlight w:val="white"/>
        </w:rPr>
        <w:t xml:space="preserve">. [online] </w:t>
      </w:r>
      <w:r w:rsidR="00B15279" w:rsidRPr="00B15279">
        <w:rPr>
          <w:rFonts w:asciiTheme="majorHAnsi" w:eastAsia="Century Schoolbook" w:hAnsiTheme="majorHAnsi" w:cs="Century Schoolbook"/>
          <w:highlight w:val="white"/>
        </w:rPr>
        <w:t xml:space="preserve">Retrieved from </w:t>
      </w:r>
      <w:r w:rsidRPr="00B15279">
        <w:rPr>
          <w:rFonts w:asciiTheme="majorHAnsi" w:eastAsia="Century Schoolbook" w:hAnsiTheme="majorHAnsi" w:cs="Century Schoolbook"/>
          <w:highlight w:val="white"/>
        </w:rPr>
        <w:t>https://www.appliedinformation.group/proje</w:t>
      </w:r>
      <w:r w:rsidRPr="00B15279">
        <w:rPr>
          <w:rFonts w:asciiTheme="majorHAnsi" w:eastAsia="Century Schoolbook" w:hAnsiTheme="majorHAnsi" w:cs="Century Schoolbook"/>
          <w:highlight w:val="white"/>
        </w:rPr>
        <w:t>cts/legible-london</w:t>
      </w:r>
      <w:r w:rsidRPr="00B15279">
        <w:rPr>
          <w:rFonts w:asciiTheme="majorHAnsi" w:eastAsia="Century Schoolbook" w:hAnsiTheme="majorHAnsi" w:cs="Century Schoolbook"/>
          <w:highlight w:val="white"/>
        </w:rPr>
        <w:t>.</w:t>
      </w:r>
    </w:p>
    <w:p w14:paraId="000000C0" w14:textId="5CF2E378" w:rsidR="00284308" w:rsidRPr="00B15279" w:rsidRDefault="00284308">
      <w:pPr>
        <w:rPr>
          <w:rFonts w:asciiTheme="majorHAnsi" w:eastAsia="Century Schoolbook" w:hAnsiTheme="majorHAnsi" w:cs="Century Schoolbook"/>
        </w:rPr>
      </w:pPr>
    </w:p>
    <w:p w14:paraId="6D0D48E9" w14:textId="77777777" w:rsidR="009D07D6" w:rsidRPr="00B15279" w:rsidRDefault="009D07D6">
      <w:pPr>
        <w:rPr>
          <w:rFonts w:asciiTheme="majorHAnsi" w:eastAsia="Century Schoolbook" w:hAnsiTheme="majorHAnsi" w:cs="Century Schoolbook"/>
        </w:rPr>
      </w:pPr>
    </w:p>
    <w:p w14:paraId="000000C1" w14:textId="77777777" w:rsidR="00284308" w:rsidRPr="00B15279" w:rsidRDefault="00EE5CAD">
      <w:pPr>
        <w:ind w:left="720" w:hanging="720"/>
        <w:rPr>
          <w:rFonts w:asciiTheme="majorHAnsi" w:eastAsia="Century Schoolbook" w:hAnsiTheme="majorHAnsi" w:cs="Century Schoolbook"/>
        </w:rPr>
      </w:pPr>
      <w:r w:rsidRPr="00B15279">
        <w:rPr>
          <w:rFonts w:asciiTheme="majorHAnsi" w:eastAsia="Century Schoolbook" w:hAnsiTheme="majorHAnsi" w:cs="Century Schoolbook"/>
        </w:rPr>
        <w:t xml:space="preserve">Austin Boyle, Charles Barrilleaux, &amp; Daniel </w:t>
      </w:r>
      <w:proofErr w:type="spellStart"/>
      <w:r w:rsidRPr="00B15279">
        <w:rPr>
          <w:rFonts w:asciiTheme="majorHAnsi" w:eastAsia="Century Schoolbook" w:hAnsiTheme="majorHAnsi" w:cs="Century Schoolbook"/>
        </w:rPr>
        <w:t>Scheller</w:t>
      </w:r>
      <w:proofErr w:type="spellEnd"/>
      <w:r w:rsidRPr="00B15279">
        <w:rPr>
          <w:rFonts w:asciiTheme="majorHAnsi" w:eastAsia="Century Schoolbook" w:hAnsiTheme="majorHAnsi" w:cs="Century Schoolbook"/>
        </w:rPr>
        <w:t>. (2014). Does walkability influence housing prices? Social Science Quarterly, 95(3), 852-867.</w:t>
      </w:r>
    </w:p>
    <w:p w14:paraId="000000C2" w14:textId="77777777" w:rsidR="00284308" w:rsidRPr="00B15279" w:rsidRDefault="00284308">
      <w:pPr>
        <w:spacing w:line="480" w:lineRule="auto"/>
        <w:rPr>
          <w:rFonts w:asciiTheme="majorHAnsi" w:eastAsia="Century Schoolbook" w:hAnsiTheme="majorHAnsi" w:cs="Century Schoolbook"/>
        </w:rPr>
      </w:pPr>
    </w:p>
    <w:p w14:paraId="000000C3" w14:textId="77777777" w:rsidR="00284308" w:rsidRPr="00B15279" w:rsidRDefault="00EE5CAD">
      <w:pPr>
        <w:ind w:left="720" w:hanging="720"/>
        <w:rPr>
          <w:rFonts w:asciiTheme="majorHAnsi" w:eastAsia="Century Schoolbook" w:hAnsiTheme="majorHAnsi" w:cs="Century Schoolbook"/>
        </w:rPr>
      </w:pPr>
      <w:proofErr w:type="spellStart"/>
      <w:r w:rsidRPr="00B15279">
        <w:rPr>
          <w:rFonts w:asciiTheme="majorHAnsi" w:eastAsia="Century Schoolbook" w:hAnsiTheme="majorHAnsi" w:cs="Century Schoolbook"/>
          <w:color w:val="212121"/>
          <w:highlight w:val="white"/>
        </w:rPr>
        <w:t>Babey</w:t>
      </w:r>
      <w:proofErr w:type="spellEnd"/>
      <w:r w:rsidRPr="00B15279">
        <w:rPr>
          <w:rFonts w:asciiTheme="majorHAnsi" w:eastAsia="Century Schoolbook" w:hAnsiTheme="majorHAnsi" w:cs="Century Schoolbook"/>
          <w:color w:val="212121"/>
          <w:highlight w:val="white"/>
        </w:rPr>
        <w:t>, S. H., Wolstein, J., Diamant, A. L., &amp; Goldstein, H. (2016). Prediabetes in Cal</w:t>
      </w:r>
      <w:r w:rsidRPr="00B15279">
        <w:rPr>
          <w:rFonts w:asciiTheme="majorHAnsi" w:eastAsia="Century Schoolbook" w:hAnsiTheme="majorHAnsi" w:cs="Century Schoolbook"/>
          <w:color w:val="212121"/>
          <w:highlight w:val="white"/>
        </w:rPr>
        <w:t xml:space="preserve">ifornia: nearly half of California adults on path to diabetes. </w:t>
      </w:r>
      <w:r w:rsidRPr="00B15279">
        <w:rPr>
          <w:rFonts w:asciiTheme="majorHAnsi" w:eastAsia="Century Schoolbook" w:hAnsiTheme="majorHAnsi" w:cs="Century Schoolbook"/>
          <w:i/>
          <w:color w:val="212121"/>
          <w:highlight w:val="white"/>
        </w:rPr>
        <w:t>Policy brief (UCLA Center for Health Policy Research)</w:t>
      </w:r>
      <w:r w:rsidRPr="00B15279">
        <w:rPr>
          <w:rFonts w:asciiTheme="majorHAnsi" w:eastAsia="Century Schoolbook" w:hAnsiTheme="majorHAnsi" w:cs="Century Schoolbook"/>
          <w:color w:val="212121"/>
          <w:highlight w:val="white"/>
        </w:rPr>
        <w:t>, (PB2016-1), 1–8.</w:t>
      </w:r>
    </w:p>
    <w:p w14:paraId="000000C4" w14:textId="77777777" w:rsidR="00284308" w:rsidRPr="00B15279" w:rsidRDefault="00284308">
      <w:pPr>
        <w:spacing w:line="480" w:lineRule="auto"/>
        <w:rPr>
          <w:rFonts w:asciiTheme="majorHAnsi" w:eastAsia="Century Schoolbook" w:hAnsiTheme="majorHAnsi" w:cs="Century Schoolbook"/>
        </w:rPr>
      </w:pPr>
    </w:p>
    <w:p w14:paraId="000000C5" w14:textId="77777777" w:rsidR="00284308" w:rsidRPr="00B15279" w:rsidRDefault="00EE5CAD">
      <w:pPr>
        <w:ind w:left="720" w:hanging="720"/>
        <w:rPr>
          <w:rFonts w:asciiTheme="majorHAnsi" w:eastAsia="Century Schoolbook" w:hAnsiTheme="majorHAnsi" w:cs="Century Schoolbook"/>
          <w:highlight w:val="white"/>
        </w:rPr>
      </w:pPr>
      <w:proofErr w:type="spellStart"/>
      <w:r w:rsidRPr="00B15279">
        <w:rPr>
          <w:rFonts w:asciiTheme="majorHAnsi" w:eastAsia="Century Schoolbook" w:hAnsiTheme="majorHAnsi" w:cs="Century Schoolbook"/>
          <w:highlight w:val="white"/>
        </w:rPr>
        <w:t>Bardach</w:t>
      </w:r>
      <w:proofErr w:type="spellEnd"/>
      <w:r w:rsidRPr="00B15279">
        <w:rPr>
          <w:rFonts w:asciiTheme="majorHAnsi" w:eastAsia="Century Schoolbook" w:hAnsiTheme="majorHAnsi" w:cs="Century Schoolbook"/>
          <w:highlight w:val="white"/>
        </w:rPr>
        <w:t xml:space="preserve">, E., 2012. </w:t>
      </w:r>
      <w:r w:rsidRPr="00B15279">
        <w:rPr>
          <w:rFonts w:asciiTheme="majorHAnsi" w:eastAsia="Century Schoolbook" w:hAnsiTheme="majorHAnsi" w:cs="Century Schoolbook"/>
          <w:i/>
          <w:highlight w:val="white"/>
        </w:rPr>
        <w:t>A practical guide for policy analysis</w:t>
      </w:r>
      <w:r w:rsidRPr="00B15279">
        <w:rPr>
          <w:rFonts w:asciiTheme="majorHAnsi" w:eastAsia="Century Schoolbook" w:hAnsiTheme="majorHAnsi" w:cs="Century Schoolbook"/>
          <w:highlight w:val="white"/>
        </w:rPr>
        <w:t>. 4th ed. Thousand Oaks: Sage Publications.</w:t>
      </w:r>
    </w:p>
    <w:p w14:paraId="000000C6" w14:textId="77777777" w:rsidR="00284308" w:rsidRPr="00B15279" w:rsidRDefault="00284308">
      <w:pPr>
        <w:rPr>
          <w:rFonts w:asciiTheme="majorHAnsi" w:eastAsia="Century Schoolbook" w:hAnsiTheme="majorHAnsi" w:cs="Century Schoolbook"/>
          <w:highlight w:val="white"/>
        </w:rPr>
      </w:pPr>
    </w:p>
    <w:p w14:paraId="000000C7" w14:textId="77777777" w:rsidR="00284308" w:rsidRPr="00B15279" w:rsidRDefault="00284308">
      <w:pPr>
        <w:rPr>
          <w:rFonts w:asciiTheme="majorHAnsi" w:eastAsia="Century Schoolbook" w:hAnsiTheme="majorHAnsi" w:cs="Century Schoolbook"/>
          <w:highlight w:val="white"/>
        </w:rPr>
      </w:pPr>
    </w:p>
    <w:p w14:paraId="000000C8" w14:textId="37548D35" w:rsidR="00284308" w:rsidRPr="00B15279" w:rsidRDefault="00EE5CAD">
      <w:pPr>
        <w:ind w:left="720" w:hanging="720"/>
        <w:rPr>
          <w:rFonts w:asciiTheme="majorHAnsi" w:eastAsia="Century Schoolbook" w:hAnsiTheme="majorHAnsi" w:cs="Century Schoolbook"/>
        </w:rPr>
      </w:pPr>
      <w:r w:rsidRPr="00B15279">
        <w:rPr>
          <w:rFonts w:asciiTheme="majorHAnsi" w:eastAsia="Century Schoolbook" w:hAnsiTheme="majorHAnsi" w:cs="Century Schoolbook"/>
        </w:rPr>
        <w:t xml:space="preserve">Brookfield, K. (2017). Residents' preferences for walkable </w:t>
      </w:r>
      <w:r w:rsidR="009D07D6" w:rsidRPr="00B15279">
        <w:rPr>
          <w:rFonts w:asciiTheme="majorHAnsi" w:eastAsia="Century Schoolbook" w:hAnsiTheme="majorHAnsi" w:cs="Century Schoolbook"/>
        </w:rPr>
        <w:t>neighborhoods</w:t>
      </w:r>
      <w:r w:rsidRPr="00B15279">
        <w:rPr>
          <w:rFonts w:asciiTheme="majorHAnsi" w:eastAsia="Century Schoolbook" w:hAnsiTheme="majorHAnsi" w:cs="Century Schoolbook"/>
        </w:rPr>
        <w:t>. Journal of Urban Design, 22(1), 44-58.</w:t>
      </w:r>
    </w:p>
    <w:p w14:paraId="000000C9" w14:textId="129ABBBA" w:rsidR="00284308" w:rsidRPr="00B15279" w:rsidRDefault="00284308">
      <w:pPr>
        <w:rPr>
          <w:rFonts w:asciiTheme="majorHAnsi" w:eastAsia="Century Schoolbook" w:hAnsiTheme="majorHAnsi" w:cs="Century Schoolbook"/>
        </w:rPr>
      </w:pPr>
    </w:p>
    <w:p w14:paraId="55208DF5" w14:textId="77777777" w:rsidR="009D07D6" w:rsidRPr="00B15279" w:rsidRDefault="009D07D6">
      <w:pPr>
        <w:rPr>
          <w:rFonts w:asciiTheme="majorHAnsi" w:eastAsia="Century Schoolbook" w:hAnsiTheme="majorHAnsi" w:cs="Century Schoolbook"/>
        </w:rPr>
      </w:pPr>
    </w:p>
    <w:p w14:paraId="000000CA" w14:textId="3659101E" w:rsidR="00284308" w:rsidRPr="00B15279" w:rsidRDefault="00EE5CAD">
      <w:pPr>
        <w:ind w:left="720" w:hanging="720"/>
        <w:rPr>
          <w:rFonts w:asciiTheme="majorHAnsi" w:eastAsia="Century Schoolbook" w:hAnsiTheme="majorHAnsi" w:cs="Century Schoolbook"/>
          <w:szCs w:val="28"/>
        </w:rPr>
      </w:pPr>
      <w:r w:rsidRPr="00B15279">
        <w:rPr>
          <w:rFonts w:asciiTheme="majorHAnsi" w:eastAsia="Century Schoolbook" w:hAnsiTheme="majorHAnsi" w:cs="Century Schoolbook"/>
          <w:highlight w:val="white"/>
        </w:rPr>
        <w:t xml:space="preserve">C40. (2020). </w:t>
      </w:r>
      <w:r w:rsidRPr="00B15279">
        <w:rPr>
          <w:rFonts w:asciiTheme="majorHAnsi" w:eastAsia="Century Schoolbook" w:hAnsiTheme="majorHAnsi" w:cs="Century Schoolbook"/>
          <w:i/>
          <w:highlight w:val="white"/>
        </w:rPr>
        <w:t>C40 annual report 2020</w:t>
      </w:r>
      <w:r w:rsidRPr="00B15279">
        <w:rPr>
          <w:rFonts w:asciiTheme="majorHAnsi" w:eastAsia="Century Schoolbook" w:hAnsiTheme="majorHAnsi" w:cs="Century Schoolbook"/>
          <w:highlight w:val="white"/>
        </w:rPr>
        <w:t>. Retrieved from https://c40-production-images.s3.amazonaws.com/other_uploads/images/2827_C40_annual_report_2020_16April2021.original.pdf?1618575743</w:t>
      </w:r>
      <w:r w:rsidR="00B15279" w:rsidRPr="00B15279">
        <w:rPr>
          <w:rFonts w:asciiTheme="majorHAnsi" w:eastAsia="Century Schoolbook" w:hAnsiTheme="majorHAnsi" w:cs="Century Schoolbook"/>
        </w:rPr>
        <w:t>.</w:t>
      </w:r>
    </w:p>
    <w:p w14:paraId="000000CB" w14:textId="77777777" w:rsidR="00284308" w:rsidRPr="00B15279" w:rsidRDefault="00284308">
      <w:pPr>
        <w:spacing w:line="480" w:lineRule="auto"/>
        <w:rPr>
          <w:rFonts w:asciiTheme="majorHAnsi" w:eastAsia="Century Schoolbook" w:hAnsiTheme="majorHAnsi" w:cs="Century Schoolbook"/>
        </w:rPr>
      </w:pPr>
    </w:p>
    <w:p w14:paraId="000000CC" w14:textId="77777777" w:rsidR="00284308" w:rsidRPr="00B15279" w:rsidRDefault="00EE5CAD">
      <w:pPr>
        <w:pBdr>
          <w:top w:val="nil"/>
          <w:left w:val="nil"/>
          <w:bottom w:val="nil"/>
          <w:right w:val="nil"/>
          <w:between w:val="nil"/>
        </w:pBdr>
        <w:ind w:left="720" w:hanging="720"/>
        <w:rPr>
          <w:rFonts w:asciiTheme="majorHAnsi" w:eastAsia="Century Schoolbook" w:hAnsiTheme="majorHAnsi" w:cs="Century Schoolbook"/>
        </w:rPr>
      </w:pPr>
      <w:proofErr w:type="spellStart"/>
      <w:r w:rsidRPr="00B15279">
        <w:rPr>
          <w:rFonts w:asciiTheme="majorHAnsi" w:eastAsia="Century Schoolbook" w:hAnsiTheme="majorHAnsi" w:cs="Century Schoolbook"/>
        </w:rPr>
        <w:t>Dovey</w:t>
      </w:r>
      <w:proofErr w:type="spellEnd"/>
      <w:r w:rsidRPr="00B15279">
        <w:rPr>
          <w:rFonts w:asciiTheme="majorHAnsi" w:eastAsia="Century Schoolbook" w:hAnsiTheme="majorHAnsi" w:cs="Century Schoolbook"/>
        </w:rPr>
        <w:t xml:space="preserve">, Kim, &amp; </w:t>
      </w:r>
      <w:proofErr w:type="spellStart"/>
      <w:r w:rsidRPr="00B15279">
        <w:rPr>
          <w:rFonts w:asciiTheme="majorHAnsi" w:eastAsia="Century Schoolbook" w:hAnsiTheme="majorHAnsi" w:cs="Century Schoolbook"/>
        </w:rPr>
        <w:t>Pafka</w:t>
      </w:r>
      <w:proofErr w:type="spellEnd"/>
      <w:r w:rsidRPr="00B15279">
        <w:rPr>
          <w:rFonts w:asciiTheme="majorHAnsi" w:eastAsia="Century Schoolbook" w:hAnsiTheme="majorHAnsi" w:cs="Century Schoolbook"/>
        </w:rPr>
        <w:t xml:space="preserve">, </w:t>
      </w:r>
      <w:proofErr w:type="spellStart"/>
      <w:r w:rsidRPr="00B15279">
        <w:rPr>
          <w:rFonts w:asciiTheme="majorHAnsi" w:eastAsia="Century Schoolbook" w:hAnsiTheme="majorHAnsi" w:cs="Century Schoolbook"/>
        </w:rPr>
        <w:t>Elek</w:t>
      </w:r>
      <w:proofErr w:type="spellEnd"/>
      <w:r w:rsidRPr="00B15279">
        <w:rPr>
          <w:rFonts w:asciiTheme="majorHAnsi" w:eastAsia="Century Schoolbook" w:hAnsiTheme="majorHAnsi" w:cs="Century Schoolbook"/>
        </w:rPr>
        <w:t>. (2020). What is walkability? The urban DMA. Urban Studies (Edinburgh, Scotland)</w:t>
      </w:r>
      <w:r w:rsidRPr="00B15279">
        <w:rPr>
          <w:rFonts w:asciiTheme="majorHAnsi" w:eastAsia="Century Schoolbook" w:hAnsiTheme="majorHAnsi" w:cs="Century Schoolbook"/>
        </w:rPr>
        <w:t>, 57(1), 93-108.</w:t>
      </w:r>
    </w:p>
    <w:p w14:paraId="000000CD" w14:textId="77777777" w:rsidR="00284308" w:rsidRPr="00B15279" w:rsidRDefault="00284308">
      <w:pPr>
        <w:spacing w:line="480" w:lineRule="auto"/>
        <w:rPr>
          <w:rFonts w:asciiTheme="majorHAnsi" w:eastAsia="Century Schoolbook" w:hAnsiTheme="majorHAnsi" w:cs="Century Schoolbook"/>
        </w:rPr>
      </w:pPr>
    </w:p>
    <w:p w14:paraId="000000CE" w14:textId="338750F4" w:rsidR="00284308" w:rsidRPr="00B15279" w:rsidRDefault="00EE5CAD">
      <w:pPr>
        <w:ind w:left="720" w:hanging="720"/>
        <w:rPr>
          <w:rFonts w:asciiTheme="majorHAnsi" w:eastAsia="Century Schoolbook" w:hAnsiTheme="majorHAnsi" w:cs="Century Schoolbook"/>
        </w:rPr>
      </w:pPr>
      <w:r w:rsidRPr="00B15279">
        <w:rPr>
          <w:rFonts w:asciiTheme="majorHAnsi" w:eastAsia="Century Schoolbook" w:hAnsiTheme="majorHAnsi" w:cs="Century Schoolbook"/>
        </w:rPr>
        <w:t xml:space="preserve">Duncan, Dustin T, </w:t>
      </w:r>
      <w:proofErr w:type="spellStart"/>
      <w:r w:rsidRPr="00B15279">
        <w:rPr>
          <w:rFonts w:asciiTheme="majorHAnsi" w:eastAsia="Century Schoolbook" w:hAnsiTheme="majorHAnsi" w:cs="Century Schoolbook"/>
        </w:rPr>
        <w:t>Aldstadt</w:t>
      </w:r>
      <w:proofErr w:type="spellEnd"/>
      <w:r w:rsidRPr="00B15279">
        <w:rPr>
          <w:rFonts w:asciiTheme="majorHAnsi" w:eastAsia="Century Schoolbook" w:hAnsiTheme="majorHAnsi" w:cs="Century Schoolbook"/>
        </w:rPr>
        <w:t xml:space="preserve">, Jared, Whalen, John, </w:t>
      </w:r>
      <w:proofErr w:type="spellStart"/>
      <w:r w:rsidRPr="00B15279">
        <w:rPr>
          <w:rFonts w:asciiTheme="majorHAnsi" w:eastAsia="Century Schoolbook" w:hAnsiTheme="majorHAnsi" w:cs="Century Schoolbook"/>
        </w:rPr>
        <w:t>Melly</w:t>
      </w:r>
      <w:proofErr w:type="spellEnd"/>
      <w:r w:rsidRPr="00B15279">
        <w:rPr>
          <w:rFonts w:asciiTheme="majorHAnsi" w:eastAsia="Century Schoolbook" w:hAnsiTheme="majorHAnsi" w:cs="Century Schoolbook"/>
        </w:rPr>
        <w:t xml:space="preserve">, Steven J, &amp; </w:t>
      </w:r>
      <w:proofErr w:type="spellStart"/>
      <w:r w:rsidRPr="00B15279">
        <w:rPr>
          <w:rFonts w:asciiTheme="majorHAnsi" w:eastAsia="Century Schoolbook" w:hAnsiTheme="majorHAnsi" w:cs="Century Schoolbook"/>
        </w:rPr>
        <w:t>Gortmaker</w:t>
      </w:r>
      <w:proofErr w:type="spellEnd"/>
      <w:r w:rsidRPr="00B15279">
        <w:rPr>
          <w:rFonts w:asciiTheme="majorHAnsi" w:eastAsia="Century Schoolbook" w:hAnsiTheme="majorHAnsi" w:cs="Century Schoolbook"/>
        </w:rPr>
        <w:t>, Steven L. (2011). Validation of walk score for estimating neighborhood walkability: an analysis of four U</w:t>
      </w:r>
      <w:r w:rsidR="00B15279" w:rsidRPr="00B15279">
        <w:rPr>
          <w:rFonts w:asciiTheme="majorHAnsi" w:eastAsia="Century Schoolbook" w:hAnsiTheme="majorHAnsi" w:cs="Century Schoolbook"/>
        </w:rPr>
        <w:t>.</w:t>
      </w:r>
      <w:r w:rsidRPr="00B15279">
        <w:rPr>
          <w:rFonts w:asciiTheme="majorHAnsi" w:eastAsia="Century Schoolbook" w:hAnsiTheme="majorHAnsi" w:cs="Century Schoolbook"/>
        </w:rPr>
        <w:t>S</w:t>
      </w:r>
      <w:r w:rsidR="00B15279" w:rsidRPr="00B15279">
        <w:rPr>
          <w:rFonts w:asciiTheme="majorHAnsi" w:eastAsia="Century Schoolbook" w:hAnsiTheme="majorHAnsi" w:cs="Century Schoolbook"/>
        </w:rPr>
        <w:t>.</w:t>
      </w:r>
      <w:r w:rsidRPr="00B15279">
        <w:rPr>
          <w:rFonts w:asciiTheme="majorHAnsi" w:eastAsia="Century Schoolbook" w:hAnsiTheme="majorHAnsi" w:cs="Century Schoolbook"/>
        </w:rPr>
        <w:t xml:space="preserve"> metropolitan areas. International Journal of Environ</w:t>
      </w:r>
      <w:r w:rsidRPr="00B15279">
        <w:rPr>
          <w:rFonts w:asciiTheme="majorHAnsi" w:eastAsia="Century Schoolbook" w:hAnsiTheme="majorHAnsi" w:cs="Century Schoolbook"/>
        </w:rPr>
        <w:t>mental Research and Public Health, 8(11), 4160-4179.</w:t>
      </w:r>
    </w:p>
    <w:p w14:paraId="000000CF" w14:textId="4801B397" w:rsidR="00284308" w:rsidRPr="00B15279" w:rsidRDefault="00284308">
      <w:pPr>
        <w:rPr>
          <w:rFonts w:asciiTheme="majorHAnsi" w:eastAsia="Century Schoolbook" w:hAnsiTheme="majorHAnsi" w:cs="Century Schoolbook"/>
        </w:rPr>
      </w:pPr>
    </w:p>
    <w:p w14:paraId="04538179" w14:textId="77777777" w:rsidR="009D07D6" w:rsidRPr="00B15279" w:rsidRDefault="009D07D6">
      <w:pPr>
        <w:rPr>
          <w:rFonts w:asciiTheme="majorHAnsi" w:eastAsia="Century Schoolbook" w:hAnsiTheme="majorHAnsi" w:cs="Century Schoolbook"/>
        </w:rPr>
      </w:pPr>
    </w:p>
    <w:p w14:paraId="000000D1" w14:textId="694262D6" w:rsidR="00284308" w:rsidRPr="00B15279" w:rsidRDefault="00EE5CAD" w:rsidP="000246AF">
      <w:pPr>
        <w:ind w:left="720" w:hanging="720"/>
        <w:rPr>
          <w:rFonts w:asciiTheme="majorHAnsi" w:eastAsia="Century Schoolbook" w:hAnsiTheme="majorHAnsi" w:cs="Century Schoolbook"/>
        </w:rPr>
      </w:pPr>
      <w:r w:rsidRPr="00B15279">
        <w:rPr>
          <w:rFonts w:asciiTheme="majorHAnsi" w:eastAsia="Century Schoolbook" w:hAnsiTheme="majorHAnsi" w:cs="Century Schoolbook"/>
        </w:rPr>
        <w:t xml:space="preserve">Dustin T. Duncan, Jared </w:t>
      </w:r>
      <w:proofErr w:type="spellStart"/>
      <w:r w:rsidRPr="00B15279">
        <w:rPr>
          <w:rFonts w:asciiTheme="majorHAnsi" w:eastAsia="Century Schoolbook" w:hAnsiTheme="majorHAnsi" w:cs="Century Schoolbook"/>
        </w:rPr>
        <w:t>Aldstadt</w:t>
      </w:r>
      <w:proofErr w:type="spellEnd"/>
      <w:r w:rsidRPr="00B15279">
        <w:rPr>
          <w:rFonts w:asciiTheme="majorHAnsi" w:eastAsia="Century Schoolbook" w:hAnsiTheme="majorHAnsi" w:cs="Century Schoolbook"/>
        </w:rPr>
        <w:t>, John Whalen, Kellee White, Marcia C. Castro, &amp; David R. Williams. (2012). Space, race, and poverty. Demographic Research, 26(17), 409-448.</w:t>
      </w:r>
    </w:p>
    <w:p w14:paraId="000000D2" w14:textId="77777777" w:rsidR="00284308" w:rsidRPr="00B15279" w:rsidRDefault="00EE5CAD">
      <w:pPr>
        <w:ind w:left="720" w:hanging="720"/>
        <w:rPr>
          <w:rFonts w:asciiTheme="majorHAnsi" w:eastAsia="Century Schoolbook" w:hAnsiTheme="majorHAnsi" w:cs="Century Schoolbook"/>
        </w:rPr>
      </w:pPr>
      <w:proofErr w:type="spellStart"/>
      <w:r w:rsidRPr="00B15279">
        <w:rPr>
          <w:rFonts w:asciiTheme="majorHAnsi" w:eastAsia="Century Schoolbook" w:hAnsiTheme="majorHAnsi" w:cs="Century Schoolbook"/>
          <w:highlight w:val="white"/>
        </w:rPr>
        <w:lastRenderedPageBreak/>
        <w:t>Egel</w:t>
      </w:r>
      <w:proofErr w:type="spellEnd"/>
      <w:r w:rsidRPr="00B15279">
        <w:rPr>
          <w:rFonts w:asciiTheme="majorHAnsi" w:eastAsia="Century Schoolbook" w:hAnsiTheme="majorHAnsi" w:cs="Century Schoolbook"/>
          <w:highlight w:val="white"/>
        </w:rPr>
        <w:t>, B. (2020). As gentrifi</w:t>
      </w:r>
      <w:r w:rsidRPr="00B15279">
        <w:rPr>
          <w:rFonts w:asciiTheme="majorHAnsi" w:eastAsia="Century Schoolbook" w:hAnsiTheme="majorHAnsi" w:cs="Century Schoolbook"/>
          <w:highlight w:val="white"/>
        </w:rPr>
        <w:t>cation spreads, how new restaurants are fighting for the soul of Oak Park. The Sacramento Bee. Retrieved from https://www.sacbee.com/news/local/sacramento-tipping-point/article238333098.html.</w:t>
      </w:r>
    </w:p>
    <w:p w14:paraId="6C7BC387" w14:textId="77777777" w:rsidR="000246AF" w:rsidRPr="00B15279" w:rsidRDefault="000246AF">
      <w:pPr>
        <w:spacing w:line="480" w:lineRule="auto"/>
        <w:ind w:left="720" w:hanging="720"/>
        <w:rPr>
          <w:rFonts w:asciiTheme="majorHAnsi" w:eastAsia="Century Schoolbook" w:hAnsiTheme="majorHAnsi" w:cs="Century Schoolbook"/>
        </w:rPr>
      </w:pPr>
    </w:p>
    <w:p w14:paraId="000000D4" w14:textId="77777777" w:rsidR="00284308" w:rsidRPr="00B15279" w:rsidRDefault="00EE5CAD">
      <w:pPr>
        <w:ind w:left="720" w:hanging="720"/>
        <w:rPr>
          <w:rFonts w:asciiTheme="majorHAnsi" w:eastAsia="Century Schoolbook" w:hAnsiTheme="majorHAnsi" w:cs="Century Schoolbook"/>
          <w:highlight w:val="white"/>
        </w:rPr>
      </w:pPr>
      <w:proofErr w:type="spellStart"/>
      <w:r w:rsidRPr="00B15279">
        <w:rPr>
          <w:rFonts w:asciiTheme="majorHAnsi" w:eastAsia="Century Schoolbook" w:hAnsiTheme="majorHAnsi" w:cs="Century Schoolbook"/>
        </w:rPr>
        <w:t>Gilderbloom</w:t>
      </w:r>
      <w:proofErr w:type="spellEnd"/>
      <w:r w:rsidRPr="00B15279">
        <w:rPr>
          <w:rFonts w:asciiTheme="majorHAnsi" w:eastAsia="Century Schoolbook" w:hAnsiTheme="majorHAnsi" w:cs="Century Schoolbook"/>
        </w:rPr>
        <w:t>, John I, Riggs, William W, &amp; Meares, Wesley L. (201</w:t>
      </w:r>
      <w:r w:rsidRPr="00B15279">
        <w:rPr>
          <w:rFonts w:asciiTheme="majorHAnsi" w:eastAsia="Century Schoolbook" w:hAnsiTheme="majorHAnsi" w:cs="Century Schoolbook"/>
        </w:rPr>
        <w:t>5). Does walkability matter? An examination of walkability’s impact on housing values, foreclosures and crime. Cities, 42, 13-24.</w:t>
      </w:r>
    </w:p>
    <w:p w14:paraId="000000D5" w14:textId="77777777" w:rsidR="00284308" w:rsidRPr="00B15279" w:rsidRDefault="00284308">
      <w:pPr>
        <w:spacing w:line="480" w:lineRule="auto"/>
        <w:ind w:left="720" w:hanging="720"/>
        <w:rPr>
          <w:rFonts w:asciiTheme="majorHAnsi" w:eastAsia="Century Schoolbook" w:hAnsiTheme="majorHAnsi" w:cs="Century Schoolbook"/>
          <w:highlight w:val="white"/>
        </w:rPr>
      </w:pPr>
    </w:p>
    <w:p w14:paraId="000000D6" w14:textId="66988DAD" w:rsidR="00284308" w:rsidRPr="00B15279" w:rsidRDefault="00EE5CAD">
      <w:pPr>
        <w:ind w:left="720" w:hanging="720"/>
        <w:rPr>
          <w:rFonts w:asciiTheme="majorHAnsi" w:eastAsia="Century Schoolbook" w:hAnsiTheme="majorHAnsi" w:cs="Century Schoolbook"/>
          <w:highlight w:val="white"/>
        </w:rPr>
      </w:pPr>
      <w:proofErr w:type="spellStart"/>
      <w:r w:rsidRPr="00B15279">
        <w:rPr>
          <w:rFonts w:asciiTheme="majorHAnsi" w:eastAsia="Century Schoolbook" w:hAnsiTheme="majorHAnsi" w:cs="Century Schoolbook"/>
          <w:highlight w:val="white"/>
        </w:rPr>
        <w:t>Loh</w:t>
      </w:r>
      <w:proofErr w:type="spellEnd"/>
      <w:r w:rsidRPr="00B15279">
        <w:rPr>
          <w:rFonts w:asciiTheme="majorHAnsi" w:eastAsia="Century Schoolbook" w:hAnsiTheme="majorHAnsi" w:cs="Century Schoolbook"/>
          <w:highlight w:val="white"/>
        </w:rPr>
        <w:t xml:space="preserve">, T., </w:t>
      </w:r>
      <w:proofErr w:type="spellStart"/>
      <w:r w:rsidRPr="00B15279">
        <w:rPr>
          <w:rFonts w:asciiTheme="majorHAnsi" w:eastAsia="Century Schoolbook" w:hAnsiTheme="majorHAnsi" w:cs="Century Schoolbook"/>
          <w:highlight w:val="white"/>
        </w:rPr>
        <w:t>Leinberger</w:t>
      </w:r>
      <w:proofErr w:type="spellEnd"/>
      <w:r w:rsidRPr="00B15279">
        <w:rPr>
          <w:rFonts w:asciiTheme="majorHAnsi" w:eastAsia="Century Schoolbook" w:hAnsiTheme="majorHAnsi" w:cs="Century Schoolbook"/>
          <w:highlight w:val="white"/>
        </w:rPr>
        <w:t xml:space="preserve">, C. and </w:t>
      </w:r>
      <w:proofErr w:type="spellStart"/>
      <w:r w:rsidRPr="00B15279">
        <w:rPr>
          <w:rFonts w:asciiTheme="majorHAnsi" w:eastAsia="Century Schoolbook" w:hAnsiTheme="majorHAnsi" w:cs="Century Schoolbook"/>
          <w:highlight w:val="white"/>
        </w:rPr>
        <w:t>Chafetz</w:t>
      </w:r>
      <w:proofErr w:type="spellEnd"/>
      <w:r w:rsidRPr="00B15279">
        <w:rPr>
          <w:rFonts w:asciiTheme="majorHAnsi" w:eastAsia="Century Schoolbook" w:hAnsiTheme="majorHAnsi" w:cs="Century Schoolbook"/>
          <w:highlight w:val="white"/>
        </w:rPr>
        <w:t xml:space="preserve">, J., 2021. </w:t>
      </w:r>
      <w:r w:rsidRPr="00B15279">
        <w:rPr>
          <w:rFonts w:asciiTheme="majorHAnsi" w:eastAsia="Century Schoolbook" w:hAnsiTheme="majorHAnsi" w:cs="Century Schoolbook"/>
          <w:i/>
          <w:highlight w:val="white"/>
        </w:rPr>
        <w:t>Foot traffic ahead</w:t>
      </w:r>
      <w:r w:rsidRPr="00B15279">
        <w:rPr>
          <w:rFonts w:asciiTheme="majorHAnsi" w:eastAsia="Century Schoolbook" w:hAnsiTheme="majorHAnsi" w:cs="Century Schoolbook"/>
          <w:highlight w:val="white"/>
        </w:rPr>
        <w:t>. [online] The George Washington University School of Busine</w:t>
      </w:r>
      <w:r w:rsidRPr="00B15279">
        <w:rPr>
          <w:rFonts w:asciiTheme="majorHAnsi" w:eastAsia="Century Schoolbook" w:hAnsiTheme="majorHAnsi" w:cs="Century Schoolbook"/>
          <w:highlight w:val="white"/>
        </w:rPr>
        <w:t xml:space="preserve">ss &amp; Smart Growth America. </w:t>
      </w:r>
      <w:r w:rsidR="009D07D6" w:rsidRPr="00B15279">
        <w:rPr>
          <w:rFonts w:asciiTheme="majorHAnsi" w:eastAsia="Century Schoolbook" w:hAnsiTheme="majorHAnsi" w:cs="Century Schoolbook"/>
          <w:highlight w:val="white"/>
        </w:rPr>
        <w:t xml:space="preserve">Retrieved from </w:t>
      </w:r>
      <w:r w:rsidRPr="00B15279">
        <w:rPr>
          <w:rFonts w:asciiTheme="majorHAnsi" w:eastAsia="Century Schoolbook" w:hAnsiTheme="majorHAnsi" w:cs="Century Schoolbook"/>
          <w:highlight w:val="white"/>
        </w:rPr>
        <w:t>https://smartgrowthamerica.org/wp-content/uploads/2019/06/Foot_Traffic_Ahead_FINAL-compressed.pdf</w:t>
      </w:r>
      <w:r w:rsidRPr="00B15279">
        <w:rPr>
          <w:rFonts w:asciiTheme="majorHAnsi" w:eastAsia="Century Schoolbook" w:hAnsiTheme="majorHAnsi" w:cs="Century Schoolbook"/>
          <w:highlight w:val="white"/>
        </w:rPr>
        <w:t>.</w:t>
      </w:r>
    </w:p>
    <w:p w14:paraId="000000D7" w14:textId="41B9FEB3" w:rsidR="00284308" w:rsidRPr="00B15279" w:rsidRDefault="00284308">
      <w:pPr>
        <w:rPr>
          <w:rFonts w:asciiTheme="majorHAnsi" w:eastAsia="Century Schoolbook" w:hAnsiTheme="majorHAnsi" w:cs="Century Schoolbook"/>
          <w:highlight w:val="white"/>
        </w:rPr>
      </w:pPr>
    </w:p>
    <w:p w14:paraId="77C062BD" w14:textId="77777777" w:rsidR="00B15279" w:rsidRPr="00B15279" w:rsidRDefault="00B15279" w:rsidP="00B15279">
      <w:pPr>
        <w:rPr>
          <w:rFonts w:asciiTheme="majorHAnsi" w:eastAsia="Century Schoolbook" w:hAnsiTheme="majorHAnsi" w:cs="Century Schoolbook"/>
          <w:highlight w:val="white"/>
        </w:rPr>
      </w:pPr>
    </w:p>
    <w:p w14:paraId="000000D8" w14:textId="18E080F8" w:rsidR="00284308" w:rsidRPr="00B15279" w:rsidRDefault="00EE5CAD">
      <w:pPr>
        <w:ind w:left="720" w:hanging="720"/>
        <w:rPr>
          <w:rFonts w:asciiTheme="majorHAnsi" w:eastAsia="Century Schoolbook" w:hAnsiTheme="majorHAnsi" w:cs="Century Schoolbook"/>
          <w:highlight w:val="white"/>
        </w:rPr>
      </w:pPr>
      <w:r w:rsidRPr="00B15279">
        <w:rPr>
          <w:rFonts w:asciiTheme="majorHAnsi" w:eastAsia="Century Schoolbook" w:hAnsiTheme="majorHAnsi" w:cs="Century Schoolbook"/>
          <w:highlight w:val="white"/>
        </w:rPr>
        <w:t xml:space="preserve">Oregon Metro. (2016). </w:t>
      </w:r>
      <w:r w:rsidRPr="00B15279">
        <w:rPr>
          <w:rFonts w:asciiTheme="majorHAnsi" w:eastAsia="Century Schoolbook" w:hAnsiTheme="majorHAnsi" w:cs="Century Schoolbook"/>
          <w:i/>
          <w:highlight w:val="white"/>
        </w:rPr>
        <w:t>Strategic plan to advance racial equity, diversity and inclusion</w:t>
      </w:r>
      <w:r w:rsidRPr="00B15279">
        <w:rPr>
          <w:rFonts w:asciiTheme="majorHAnsi" w:eastAsia="Century Schoolbook" w:hAnsiTheme="majorHAnsi" w:cs="Century Schoolbook"/>
          <w:highlight w:val="white"/>
        </w:rPr>
        <w:t xml:space="preserve"> [</w:t>
      </w:r>
      <w:proofErr w:type="spellStart"/>
      <w:r w:rsidRPr="00B15279">
        <w:rPr>
          <w:rFonts w:asciiTheme="majorHAnsi" w:eastAsia="Century Schoolbook" w:hAnsiTheme="majorHAnsi" w:cs="Century Schoolbook"/>
          <w:highlight w:val="white"/>
        </w:rPr>
        <w:t>Ebook</w:t>
      </w:r>
      <w:proofErr w:type="spellEnd"/>
      <w:r w:rsidRPr="00B15279">
        <w:rPr>
          <w:rFonts w:asciiTheme="majorHAnsi" w:eastAsia="Century Schoolbook" w:hAnsiTheme="majorHAnsi" w:cs="Century Schoolbook"/>
          <w:highlight w:val="white"/>
        </w:rPr>
        <w:t xml:space="preserve">]. Retrieved from </w:t>
      </w:r>
      <w:hyperlink r:id="rId19">
        <w:r w:rsidRPr="00B15279">
          <w:rPr>
            <w:rFonts w:asciiTheme="majorHAnsi" w:eastAsia="Century Schoolbook" w:hAnsiTheme="majorHAnsi" w:cs="Century Schoolbook"/>
            <w:highlight w:val="white"/>
          </w:rPr>
          <w:t>https://www.oregonmetro.gov/sites/default/files/2017/10/05/Strategic-plan-advance-racial-equity-diversit</w:t>
        </w:r>
        <w:r w:rsidRPr="00B15279">
          <w:rPr>
            <w:rFonts w:asciiTheme="majorHAnsi" w:eastAsia="Century Schoolbook" w:hAnsiTheme="majorHAnsi" w:cs="Century Schoolbook"/>
            <w:highlight w:val="white"/>
          </w:rPr>
          <w:t>y-inclusion-16087-20160613.pdf</w:t>
        </w:r>
      </w:hyperlink>
      <w:r w:rsidRPr="00B15279">
        <w:rPr>
          <w:rFonts w:asciiTheme="majorHAnsi" w:eastAsia="Century Schoolbook" w:hAnsiTheme="majorHAnsi" w:cs="Century Schoolbook"/>
          <w:highlight w:val="white"/>
        </w:rPr>
        <w:t>.</w:t>
      </w:r>
    </w:p>
    <w:p w14:paraId="000000D9" w14:textId="77777777" w:rsidR="00284308" w:rsidRPr="00B15279" w:rsidRDefault="00284308">
      <w:pPr>
        <w:spacing w:line="480" w:lineRule="auto"/>
        <w:rPr>
          <w:rFonts w:asciiTheme="majorHAnsi" w:eastAsia="Century Schoolbook" w:hAnsiTheme="majorHAnsi" w:cs="Century Schoolbook"/>
          <w:szCs w:val="20"/>
          <w:highlight w:val="white"/>
        </w:rPr>
      </w:pPr>
    </w:p>
    <w:p w14:paraId="000000DA" w14:textId="77777777" w:rsidR="00284308" w:rsidRPr="00B15279" w:rsidRDefault="00EE5CAD">
      <w:pPr>
        <w:ind w:left="720" w:hanging="720"/>
        <w:rPr>
          <w:rFonts w:asciiTheme="majorHAnsi" w:eastAsia="Century Schoolbook" w:hAnsiTheme="majorHAnsi" w:cs="Century Schoolbook"/>
          <w:szCs w:val="28"/>
        </w:rPr>
      </w:pPr>
      <w:r w:rsidRPr="00B15279">
        <w:rPr>
          <w:rFonts w:asciiTheme="majorHAnsi" w:eastAsia="Century Schoolbook" w:hAnsiTheme="majorHAnsi" w:cs="Century Schoolbook"/>
          <w:i/>
          <w:highlight w:val="white"/>
        </w:rPr>
        <w:t>Pedestrian crossing islands</w:t>
      </w:r>
      <w:r w:rsidRPr="00B15279">
        <w:rPr>
          <w:rFonts w:asciiTheme="majorHAnsi" w:eastAsia="Century Schoolbook" w:hAnsiTheme="majorHAnsi" w:cs="Century Schoolbook"/>
          <w:highlight w:val="white"/>
        </w:rPr>
        <w:t>. America Walks. (2021). Retrieved from https://americawalks.org/pedestrian-crossing-islands/.</w:t>
      </w:r>
    </w:p>
    <w:p w14:paraId="660F3DDD" w14:textId="77777777" w:rsidR="009D07D6" w:rsidRPr="00B15279" w:rsidRDefault="009D07D6" w:rsidP="009D07D6">
      <w:pPr>
        <w:rPr>
          <w:rFonts w:asciiTheme="majorHAnsi" w:eastAsia="Century Schoolbook" w:hAnsiTheme="majorHAnsi" w:cs="Century Schoolbook"/>
          <w:szCs w:val="28"/>
        </w:rPr>
      </w:pPr>
    </w:p>
    <w:p w14:paraId="084D72D8" w14:textId="77777777" w:rsidR="009D07D6" w:rsidRPr="00B15279" w:rsidRDefault="00EE5CAD" w:rsidP="009D07D6">
      <w:pPr>
        <w:rPr>
          <w:rFonts w:asciiTheme="majorHAnsi" w:eastAsia="Century Schoolbook" w:hAnsiTheme="majorHAnsi" w:cs="Century Schoolbook"/>
        </w:rPr>
      </w:pPr>
      <w:r w:rsidRPr="00B15279">
        <w:rPr>
          <w:rFonts w:asciiTheme="majorHAnsi" w:eastAsia="Century Schoolbook" w:hAnsiTheme="majorHAnsi" w:cs="Century Schoolbook"/>
        </w:rPr>
        <w:t>Pivo, Gary, &amp; Fisher, Jeffrey D. (2011). The walkability premium in commercial</w:t>
      </w:r>
    </w:p>
    <w:p w14:paraId="53E9A0EC" w14:textId="45EF4C43" w:rsidR="009D07D6" w:rsidRPr="00B15279" w:rsidRDefault="00EE5CAD" w:rsidP="009D07D6">
      <w:pPr>
        <w:ind w:firstLine="720"/>
        <w:rPr>
          <w:rFonts w:asciiTheme="majorHAnsi" w:eastAsia="Century Schoolbook" w:hAnsiTheme="majorHAnsi" w:cs="Century Schoolbook"/>
        </w:rPr>
      </w:pPr>
      <w:r w:rsidRPr="00B15279">
        <w:rPr>
          <w:rFonts w:asciiTheme="majorHAnsi" w:eastAsia="Century Schoolbook" w:hAnsiTheme="majorHAnsi" w:cs="Century Schoolbook"/>
        </w:rPr>
        <w:t>real estate investments. Real Estate Economics, 39(2), 185-219.</w:t>
      </w:r>
    </w:p>
    <w:p w14:paraId="625988D2" w14:textId="77777777" w:rsidR="009D07D6" w:rsidRPr="00B15279" w:rsidRDefault="009D07D6" w:rsidP="009D07D6">
      <w:pPr>
        <w:rPr>
          <w:rFonts w:asciiTheme="majorHAnsi" w:eastAsia="Century Schoolbook" w:hAnsiTheme="majorHAnsi" w:cs="Century Schoolbook"/>
        </w:rPr>
      </w:pPr>
    </w:p>
    <w:p w14:paraId="5BBD0B1C" w14:textId="77777777" w:rsidR="009D07D6" w:rsidRPr="00B15279" w:rsidRDefault="009D07D6" w:rsidP="009D07D6">
      <w:pPr>
        <w:rPr>
          <w:rFonts w:asciiTheme="majorHAnsi" w:eastAsia="Century Schoolbook" w:hAnsiTheme="majorHAnsi" w:cs="Century Schoolbook"/>
        </w:rPr>
      </w:pPr>
    </w:p>
    <w:p w14:paraId="5930042B" w14:textId="77777777" w:rsidR="009D07D6" w:rsidRPr="00B15279" w:rsidRDefault="00EE5CAD" w:rsidP="009D07D6">
      <w:pPr>
        <w:rPr>
          <w:rFonts w:asciiTheme="majorHAnsi" w:eastAsia="Century Schoolbook" w:hAnsiTheme="majorHAnsi" w:cs="Century Schoolbook"/>
          <w:highlight w:val="white"/>
        </w:rPr>
      </w:pPr>
      <w:r w:rsidRPr="00B15279">
        <w:rPr>
          <w:rFonts w:asciiTheme="majorHAnsi" w:eastAsia="Century Schoolbook" w:hAnsiTheme="majorHAnsi" w:cs="Century Schoolbook"/>
          <w:highlight w:val="white"/>
        </w:rPr>
        <w:t>Population health, place, and space: spatial perspectives in chronic disease research</w:t>
      </w:r>
    </w:p>
    <w:p w14:paraId="0C12B45A" w14:textId="755F042C" w:rsidR="009D07D6" w:rsidRPr="00B15279" w:rsidRDefault="00EE5CAD" w:rsidP="009D07D6">
      <w:pPr>
        <w:ind w:firstLine="720"/>
        <w:rPr>
          <w:rFonts w:asciiTheme="majorHAnsi" w:eastAsia="Century Schoolbook" w:hAnsiTheme="majorHAnsi" w:cs="Century Schoolbook"/>
          <w:highlight w:val="white"/>
        </w:rPr>
      </w:pPr>
      <w:r w:rsidRPr="00B15279">
        <w:rPr>
          <w:rFonts w:asciiTheme="majorHAnsi" w:eastAsia="Century Schoolbook" w:hAnsiTheme="majorHAnsi" w:cs="Century Schoolbook"/>
          <w:highlight w:val="white"/>
        </w:rPr>
        <w:t xml:space="preserve">and practice. (2019), </w:t>
      </w:r>
      <w:r w:rsidRPr="00B15279">
        <w:rPr>
          <w:rFonts w:asciiTheme="majorHAnsi" w:eastAsia="Century Schoolbook" w:hAnsiTheme="majorHAnsi" w:cs="Century Schoolbook"/>
          <w:i/>
          <w:highlight w:val="white"/>
        </w:rPr>
        <w:t>16</w:t>
      </w:r>
      <w:r w:rsidRPr="00B15279">
        <w:rPr>
          <w:rFonts w:asciiTheme="majorHAnsi" w:eastAsia="Century Schoolbook" w:hAnsiTheme="majorHAnsi" w:cs="Century Schoolbook"/>
          <w:highlight w:val="white"/>
        </w:rPr>
        <w:t>(E</w:t>
      </w:r>
      <w:r w:rsidRPr="00B15279">
        <w:rPr>
          <w:rFonts w:asciiTheme="majorHAnsi" w:eastAsia="Century Schoolbook" w:hAnsiTheme="majorHAnsi" w:cs="Century Schoolbook"/>
          <w:highlight w:val="white"/>
        </w:rPr>
        <w:t>123). Retrieved from</w:t>
      </w:r>
    </w:p>
    <w:p w14:paraId="000000DF" w14:textId="449DA5B4" w:rsidR="00284308" w:rsidRPr="00B15279" w:rsidRDefault="00EE5CAD" w:rsidP="009D07D6">
      <w:pPr>
        <w:ind w:firstLine="720"/>
        <w:rPr>
          <w:rFonts w:asciiTheme="majorHAnsi" w:eastAsia="Century Schoolbook" w:hAnsiTheme="majorHAnsi" w:cs="Century Schoolbook"/>
        </w:rPr>
      </w:pPr>
      <w:r w:rsidRPr="00B15279">
        <w:rPr>
          <w:rFonts w:asciiTheme="majorHAnsi" w:eastAsia="Century Schoolbook" w:hAnsiTheme="majorHAnsi" w:cs="Century Schoolbook"/>
          <w:highlight w:val="white"/>
        </w:rPr>
        <w:t>https://www.cdc.gov/pcd/collections/pdf/GiS_collection.pdf.</w:t>
      </w:r>
    </w:p>
    <w:p w14:paraId="000000E0" w14:textId="77777777" w:rsidR="00284308" w:rsidRPr="00B15279" w:rsidRDefault="00284308">
      <w:pPr>
        <w:rPr>
          <w:rFonts w:asciiTheme="majorHAnsi" w:eastAsia="Century Schoolbook" w:hAnsiTheme="majorHAnsi" w:cs="Century Schoolbook"/>
          <w:i/>
          <w:highlight w:val="white"/>
        </w:rPr>
      </w:pPr>
    </w:p>
    <w:p w14:paraId="000000E1" w14:textId="77777777" w:rsidR="00284308" w:rsidRPr="00B15279" w:rsidRDefault="00284308">
      <w:pPr>
        <w:ind w:left="720" w:hanging="720"/>
        <w:rPr>
          <w:rFonts w:asciiTheme="majorHAnsi" w:eastAsia="Century Schoolbook" w:hAnsiTheme="majorHAnsi" w:cs="Century Schoolbook"/>
          <w:i/>
          <w:highlight w:val="white"/>
        </w:rPr>
      </w:pPr>
    </w:p>
    <w:p w14:paraId="000000E2" w14:textId="1E5D0C40" w:rsidR="00284308" w:rsidRPr="00B15279" w:rsidRDefault="00EE5CAD">
      <w:pPr>
        <w:ind w:left="720" w:hanging="720"/>
        <w:rPr>
          <w:rFonts w:asciiTheme="majorHAnsi" w:eastAsia="Century Schoolbook" w:hAnsiTheme="majorHAnsi" w:cs="Century Schoolbook"/>
          <w:szCs w:val="28"/>
          <w:highlight w:val="white"/>
        </w:rPr>
      </w:pPr>
      <w:r w:rsidRPr="00B15279">
        <w:rPr>
          <w:rFonts w:asciiTheme="majorHAnsi" w:eastAsia="Century Schoolbook" w:hAnsiTheme="majorHAnsi" w:cs="Century Schoolbook"/>
          <w:i/>
          <w:highlight w:val="white"/>
        </w:rPr>
        <w:t xml:space="preserve">Redfin News, 2020. How much does walkability increase the value of a </w:t>
      </w:r>
      <w:proofErr w:type="gramStart"/>
      <w:r w:rsidRPr="00B15279">
        <w:rPr>
          <w:rFonts w:asciiTheme="majorHAnsi" w:eastAsia="Century Schoolbook" w:hAnsiTheme="majorHAnsi" w:cs="Century Schoolbook"/>
          <w:i/>
          <w:highlight w:val="white"/>
        </w:rPr>
        <w:t>home?.</w:t>
      </w:r>
      <w:proofErr w:type="gramEnd"/>
      <w:r w:rsidRPr="00B15279">
        <w:rPr>
          <w:rFonts w:asciiTheme="majorHAnsi" w:eastAsia="Century Schoolbook" w:hAnsiTheme="majorHAnsi" w:cs="Century Schoolbook"/>
          <w:i/>
          <w:highlight w:val="white"/>
        </w:rPr>
        <w:t xml:space="preserve"> [online] </w:t>
      </w:r>
      <w:r w:rsidRPr="00B15279">
        <w:rPr>
          <w:rFonts w:asciiTheme="majorHAnsi" w:eastAsia="Century Schoolbook" w:hAnsiTheme="majorHAnsi" w:cs="Century Schoolbook"/>
          <w:highlight w:val="white"/>
        </w:rPr>
        <w:t xml:space="preserve">Retrieved from </w:t>
      </w:r>
      <w:r w:rsidRPr="00B15279">
        <w:rPr>
          <w:rFonts w:asciiTheme="majorHAnsi" w:eastAsia="Century Schoolbook" w:hAnsiTheme="majorHAnsi" w:cs="Century Schoolbook"/>
          <w:highlight w:val="white"/>
        </w:rPr>
        <w:t>https://www.redfin.com/news/how-much-does-walkability-increase-home-values/</w:t>
      </w:r>
      <w:r w:rsidR="009D07D6" w:rsidRPr="00B15279">
        <w:rPr>
          <w:rFonts w:asciiTheme="majorHAnsi" w:eastAsia="Century Schoolbook" w:hAnsiTheme="majorHAnsi" w:cs="Century Schoolbook"/>
          <w:highlight w:val="white"/>
        </w:rPr>
        <w:t>.</w:t>
      </w:r>
    </w:p>
    <w:p w14:paraId="000000E3" w14:textId="77777777" w:rsidR="00284308" w:rsidRPr="00B15279" w:rsidRDefault="00284308">
      <w:pPr>
        <w:rPr>
          <w:rFonts w:asciiTheme="majorHAnsi" w:eastAsia="Century Schoolbook" w:hAnsiTheme="majorHAnsi" w:cs="Century Schoolbook"/>
          <w:i/>
          <w:highlight w:val="white"/>
        </w:rPr>
      </w:pPr>
    </w:p>
    <w:p w14:paraId="000000E4" w14:textId="77777777" w:rsidR="00284308" w:rsidRPr="00B15279" w:rsidRDefault="00284308">
      <w:pPr>
        <w:ind w:left="720"/>
        <w:rPr>
          <w:rFonts w:asciiTheme="majorHAnsi" w:eastAsia="Century Schoolbook" w:hAnsiTheme="majorHAnsi" w:cs="Century Schoolbook"/>
          <w:highlight w:val="white"/>
        </w:rPr>
      </w:pPr>
    </w:p>
    <w:p w14:paraId="000000E5" w14:textId="77777777" w:rsidR="00284308" w:rsidRPr="00B15279" w:rsidRDefault="00EE5CAD" w:rsidP="009D07D6">
      <w:pPr>
        <w:ind w:left="720" w:hanging="720"/>
        <w:rPr>
          <w:rFonts w:asciiTheme="majorHAnsi" w:eastAsia="Century Schoolbook" w:hAnsiTheme="majorHAnsi" w:cs="Century Schoolbook"/>
          <w:szCs w:val="28"/>
        </w:rPr>
      </w:pPr>
      <w:r w:rsidRPr="00B15279">
        <w:rPr>
          <w:rFonts w:asciiTheme="majorHAnsi" w:eastAsia="Century Schoolbook" w:hAnsiTheme="majorHAnsi" w:cs="Century Schoolbook"/>
          <w:highlight w:val="white"/>
        </w:rPr>
        <w:t xml:space="preserve">Robinson, J. (2019). </w:t>
      </w:r>
      <w:r w:rsidRPr="00B15279">
        <w:rPr>
          <w:rFonts w:asciiTheme="majorHAnsi" w:eastAsia="Century Schoolbook" w:hAnsiTheme="majorHAnsi" w:cs="Century Schoolbook"/>
          <w:i/>
          <w:highlight w:val="white"/>
        </w:rPr>
        <w:t>Philadelphia playful learning landscapes: sealing strategies for a playful learning movement</w:t>
      </w:r>
      <w:r w:rsidRPr="00B15279">
        <w:rPr>
          <w:rFonts w:asciiTheme="majorHAnsi" w:eastAsia="Century Schoolbook" w:hAnsiTheme="majorHAnsi" w:cs="Century Schoolbook"/>
          <w:highlight w:val="white"/>
        </w:rPr>
        <w:t xml:space="preserve"> [</w:t>
      </w:r>
      <w:proofErr w:type="spellStart"/>
      <w:r w:rsidRPr="00B15279">
        <w:rPr>
          <w:rFonts w:asciiTheme="majorHAnsi" w:eastAsia="Century Schoolbook" w:hAnsiTheme="majorHAnsi" w:cs="Century Schoolbook"/>
          <w:highlight w:val="white"/>
        </w:rPr>
        <w:t>Ebook</w:t>
      </w:r>
      <w:proofErr w:type="spellEnd"/>
      <w:r w:rsidRPr="00B15279">
        <w:rPr>
          <w:rFonts w:asciiTheme="majorHAnsi" w:eastAsia="Century Schoolbook" w:hAnsiTheme="majorHAnsi" w:cs="Century Schoolbook"/>
          <w:highlight w:val="white"/>
        </w:rPr>
        <w:t>]. Center for Uni</w:t>
      </w:r>
      <w:r w:rsidRPr="00B15279">
        <w:rPr>
          <w:rFonts w:asciiTheme="majorHAnsi" w:eastAsia="Century Schoolbook" w:hAnsiTheme="majorHAnsi" w:cs="Century Schoolbook"/>
          <w:highlight w:val="white"/>
        </w:rPr>
        <w:t>versal Education at Brookings. Retrieved from https://www.brookings.edu/wp-content/uploads/2019/10/PPLL-FINAL-REPORT-web.pdf.</w:t>
      </w:r>
    </w:p>
    <w:p w14:paraId="6DF3EDDF" w14:textId="77777777" w:rsidR="000246AF" w:rsidRDefault="000246AF" w:rsidP="009D07D6">
      <w:pPr>
        <w:ind w:left="720" w:hanging="720"/>
        <w:rPr>
          <w:rFonts w:asciiTheme="majorHAnsi" w:eastAsia="Century Schoolbook" w:hAnsiTheme="majorHAnsi" w:cs="Century Schoolbook"/>
          <w:i/>
          <w:highlight w:val="white"/>
        </w:rPr>
      </w:pPr>
    </w:p>
    <w:p w14:paraId="000000E7" w14:textId="63091192" w:rsidR="00284308" w:rsidRPr="00B15279" w:rsidRDefault="00EE5CAD" w:rsidP="009D07D6">
      <w:pPr>
        <w:ind w:left="720" w:hanging="720"/>
        <w:rPr>
          <w:rFonts w:asciiTheme="majorHAnsi" w:eastAsia="Century Schoolbook" w:hAnsiTheme="majorHAnsi" w:cs="Century Schoolbook"/>
        </w:rPr>
      </w:pPr>
      <w:r w:rsidRPr="00B15279">
        <w:rPr>
          <w:rFonts w:asciiTheme="majorHAnsi" w:eastAsia="Century Schoolbook" w:hAnsiTheme="majorHAnsi" w:cs="Century Schoolbook"/>
          <w:highlight w:val="white"/>
        </w:rPr>
        <w:lastRenderedPageBreak/>
        <w:t xml:space="preserve">Sacramento Area Council of Governments. (2020).  </w:t>
      </w:r>
      <w:r w:rsidRPr="00B15279">
        <w:rPr>
          <w:rFonts w:asciiTheme="majorHAnsi" w:eastAsia="Century Schoolbook" w:hAnsiTheme="majorHAnsi" w:cs="Century Schoolbook"/>
          <w:i/>
          <w:highlight w:val="white"/>
        </w:rPr>
        <w:t>SACOG racial equity audit</w:t>
      </w:r>
      <w:r w:rsidRPr="00B15279">
        <w:rPr>
          <w:rFonts w:asciiTheme="majorHAnsi" w:eastAsia="Century Schoolbook" w:hAnsiTheme="majorHAnsi" w:cs="Century Schoolbook"/>
          <w:highlight w:val="white"/>
        </w:rPr>
        <w:t xml:space="preserve">. [online] </w:t>
      </w:r>
      <w:proofErr w:type="spellStart"/>
      <w:r w:rsidRPr="00B15279">
        <w:rPr>
          <w:rFonts w:asciiTheme="majorHAnsi" w:eastAsia="Century Schoolbook" w:hAnsiTheme="majorHAnsi" w:cs="Century Schoolbook"/>
          <w:highlight w:val="white"/>
        </w:rPr>
        <w:t>Mckensie</w:t>
      </w:r>
      <w:proofErr w:type="spellEnd"/>
      <w:r w:rsidRPr="00B15279">
        <w:rPr>
          <w:rFonts w:asciiTheme="majorHAnsi" w:eastAsia="Century Schoolbook" w:hAnsiTheme="majorHAnsi" w:cs="Century Schoolbook"/>
          <w:highlight w:val="white"/>
        </w:rPr>
        <w:t xml:space="preserve"> Mack Group. </w:t>
      </w:r>
      <w:r w:rsidR="009D07D6" w:rsidRPr="00B15279">
        <w:rPr>
          <w:rFonts w:asciiTheme="majorHAnsi" w:eastAsia="Century Schoolbook" w:hAnsiTheme="majorHAnsi" w:cs="Century Schoolbook"/>
          <w:highlight w:val="white"/>
        </w:rPr>
        <w:t xml:space="preserve">Retrieved from </w:t>
      </w:r>
      <w:hyperlink r:id="rId20" w:history="1">
        <w:r w:rsidR="009D07D6" w:rsidRPr="00B15279">
          <w:rPr>
            <w:rStyle w:val="Hyperlink"/>
            <w:rFonts w:asciiTheme="majorHAnsi" w:eastAsia="Century Schoolbook" w:hAnsiTheme="majorHAnsi" w:cs="Century Schoolbook"/>
            <w:color w:val="000000" w:themeColor="text1"/>
            <w:highlight w:val="white"/>
            <w:u w:val="none"/>
          </w:rPr>
          <w:t>https://www.sacog.org/sites/main/files/file-attachments/sacog_racial_equity_audit_.pdf?1605908504</w:t>
        </w:r>
      </w:hyperlink>
      <w:r w:rsidR="009D07D6" w:rsidRPr="00B15279">
        <w:rPr>
          <w:rFonts w:asciiTheme="majorHAnsi" w:eastAsia="Century Schoolbook" w:hAnsiTheme="majorHAnsi" w:cs="Century Schoolbook"/>
          <w:color w:val="000000" w:themeColor="text1"/>
        </w:rPr>
        <w:t>.</w:t>
      </w:r>
    </w:p>
    <w:p w14:paraId="000000E8" w14:textId="77777777" w:rsidR="00284308" w:rsidRPr="00B15279" w:rsidRDefault="00284308">
      <w:pPr>
        <w:rPr>
          <w:rFonts w:asciiTheme="majorHAnsi" w:eastAsia="Century Schoolbook" w:hAnsiTheme="majorHAnsi" w:cs="Century Schoolbook"/>
        </w:rPr>
      </w:pPr>
    </w:p>
    <w:p w14:paraId="000000E9" w14:textId="77777777" w:rsidR="00284308" w:rsidRPr="00B15279" w:rsidRDefault="00284308">
      <w:pPr>
        <w:ind w:left="720"/>
        <w:rPr>
          <w:rFonts w:asciiTheme="majorHAnsi" w:eastAsia="Century Schoolbook" w:hAnsiTheme="majorHAnsi" w:cs="Century Schoolbook"/>
          <w:highlight w:val="white"/>
        </w:rPr>
      </w:pPr>
    </w:p>
    <w:p w14:paraId="000000EA" w14:textId="2C8623E4" w:rsidR="00284308" w:rsidRPr="00B15279" w:rsidRDefault="00EE5CAD" w:rsidP="009D07D6">
      <w:pPr>
        <w:ind w:left="720" w:hanging="720"/>
        <w:rPr>
          <w:rFonts w:asciiTheme="majorHAnsi" w:eastAsia="Century Schoolbook" w:hAnsiTheme="majorHAnsi" w:cs="Century Schoolbook"/>
          <w:i/>
          <w:highlight w:val="white"/>
        </w:rPr>
      </w:pPr>
      <w:r w:rsidRPr="00B15279">
        <w:rPr>
          <w:rFonts w:asciiTheme="majorHAnsi" w:eastAsia="Century Schoolbook" w:hAnsiTheme="majorHAnsi" w:cs="Century Schoolbook"/>
          <w:highlight w:val="white"/>
        </w:rPr>
        <w:t xml:space="preserve">Sacramento Area Council of Governments. (2019). </w:t>
      </w:r>
      <w:r w:rsidRPr="00B15279">
        <w:rPr>
          <w:rFonts w:asciiTheme="majorHAnsi" w:eastAsia="Century Schoolbook" w:hAnsiTheme="majorHAnsi" w:cs="Century Schoolbook"/>
          <w:i/>
          <w:highlight w:val="white"/>
        </w:rPr>
        <w:t xml:space="preserve">MTP/SCS metropolitan transportation plan sustainable </w:t>
      </w:r>
      <w:proofErr w:type="gramStart"/>
      <w:r w:rsidRPr="00B15279">
        <w:rPr>
          <w:rFonts w:asciiTheme="majorHAnsi" w:eastAsia="Century Schoolbook" w:hAnsiTheme="majorHAnsi" w:cs="Century Schoolbook"/>
          <w:i/>
          <w:highlight w:val="white"/>
        </w:rPr>
        <w:t>communities</w:t>
      </w:r>
      <w:proofErr w:type="gramEnd"/>
      <w:r w:rsidRPr="00B15279">
        <w:rPr>
          <w:rFonts w:asciiTheme="majorHAnsi" w:eastAsia="Century Schoolbook" w:hAnsiTheme="majorHAnsi" w:cs="Century Schoolbook"/>
          <w:i/>
          <w:highlight w:val="white"/>
        </w:rPr>
        <w:t xml:space="preserve"> strategy</w:t>
      </w:r>
      <w:r w:rsidRPr="00B15279">
        <w:rPr>
          <w:rFonts w:asciiTheme="majorHAnsi" w:eastAsia="Century Schoolbook" w:hAnsiTheme="majorHAnsi" w:cs="Century Schoolbook"/>
          <w:highlight w:val="white"/>
        </w:rPr>
        <w:t xml:space="preserve">. [online] </w:t>
      </w:r>
      <w:r w:rsidR="009D07D6" w:rsidRPr="00B15279">
        <w:rPr>
          <w:rFonts w:asciiTheme="majorHAnsi" w:eastAsia="Century Schoolbook" w:hAnsiTheme="majorHAnsi" w:cs="Century Schoolbook"/>
          <w:highlight w:val="white"/>
        </w:rPr>
        <w:t>Retrieved from</w:t>
      </w:r>
      <w:r w:rsidRPr="00B15279">
        <w:rPr>
          <w:rFonts w:asciiTheme="majorHAnsi" w:eastAsia="Century Schoolbook" w:hAnsiTheme="majorHAnsi" w:cs="Century Schoolbook"/>
          <w:highlight w:val="white"/>
        </w:rPr>
        <w:t xml:space="preserve"> </w:t>
      </w:r>
      <w:r w:rsidRPr="00B15279">
        <w:rPr>
          <w:rFonts w:asciiTheme="majorHAnsi" w:eastAsia="Century Schoolbook" w:hAnsiTheme="majorHAnsi" w:cs="Century Schoolbook"/>
          <w:highlight w:val="white"/>
        </w:rPr>
        <w:t>https://www.sac</w:t>
      </w:r>
      <w:r w:rsidRPr="00B15279">
        <w:rPr>
          <w:rFonts w:asciiTheme="majorHAnsi" w:eastAsia="Century Schoolbook" w:hAnsiTheme="majorHAnsi" w:cs="Century Schoolbook"/>
          <w:highlight w:val="white"/>
        </w:rPr>
        <w:t>og.org/sites/main/files/file-attachments/2020_mtp-scs.pdf?15803309</w:t>
      </w:r>
      <w:r w:rsidR="009D07D6" w:rsidRPr="00B15279">
        <w:rPr>
          <w:rFonts w:asciiTheme="majorHAnsi" w:eastAsia="Century Schoolbook" w:hAnsiTheme="majorHAnsi" w:cs="Century Schoolbook"/>
          <w:highlight w:val="white"/>
        </w:rPr>
        <w:t>9.</w:t>
      </w:r>
      <w:r w:rsidRPr="00B15279">
        <w:rPr>
          <w:rFonts w:asciiTheme="majorHAnsi" w:eastAsia="Century Schoolbook" w:hAnsiTheme="majorHAnsi" w:cs="Century Schoolbook"/>
          <w:highlight w:val="white"/>
        </w:rPr>
        <w:t xml:space="preserve"> </w:t>
      </w:r>
    </w:p>
    <w:p w14:paraId="000000EC" w14:textId="77777777" w:rsidR="00284308" w:rsidRPr="00B15279" w:rsidRDefault="00284308">
      <w:pPr>
        <w:rPr>
          <w:rFonts w:asciiTheme="majorHAnsi" w:eastAsia="Century Schoolbook" w:hAnsiTheme="majorHAnsi" w:cs="Century Schoolbook"/>
          <w:highlight w:val="white"/>
        </w:rPr>
      </w:pPr>
    </w:p>
    <w:p w14:paraId="01B0580F" w14:textId="77777777" w:rsidR="00B15279" w:rsidRPr="00B15279" w:rsidRDefault="00B15279" w:rsidP="00B15279">
      <w:pPr>
        <w:rPr>
          <w:rFonts w:asciiTheme="majorHAnsi" w:eastAsia="Century Schoolbook" w:hAnsiTheme="majorHAnsi" w:cs="Century Schoolbook"/>
          <w:highlight w:val="white"/>
        </w:rPr>
      </w:pPr>
    </w:p>
    <w:p w14:paraId="652EEFB8" w14:textId="77777777" w:rsidR="00B15279" w:rsidRPr="00B15279" w:rsidRDefault="00B15279" w:rsidP="00B15279">
      <w:pPr>
        <w:ind w:left="720" w:hanging="720"/>
        <w:rPr>
          <w:rFonts w:asciiTheme="majorHAnsi" w:hAnsiTheme="majorHAnsi"/>
        </w:rPr>
      </w:pPr>
      <w:r w:rsidRPr="00B15279">
        <w:rPr>
          <w:rFonts w:asciiTheme="majorHAnsi" w:hAnsiTheme="majorHAnsi" w:cs="Open Sans"/>
          <w:color w:val="000000"/>
          <w:szCs w:val="20"/>
          <w:shd w:val="clear" w:color="auto" w:fill="FFFFFF"/>
        </w:rPr>
        <w:t>Schwartz, A. and Meltzer, R., 2018. </w:t>
      </w:r>
      <w:r w:rsidRPr="00B15279">
        <w:rPr>
          <w:rFonts w:asciiTheme="majorHAnsi" w:hAnsiTheme="majorHAnsi" w:cs="Open Sans"/>
          <w:i/>
          <w:iCs/>
          <w:color w:val="000000"/>
          <w:szCs w:val="20"/>
          <w:shd w:val="clear" w:color="auto" w:fill="FFFFFF"/>
        </w:rPr>
        <w:t>Policy analysis as problem solving: a flexible and evidence-based framework</w:t>
      </w:r>
      <w:r w:rsidRPr="00B15279">
        <w:rPr>
          <w:rFonts w:asciiTheme="majorHAnsi" w:hAnsiTheme="majorHAnsi" w:cs="Open Sans"/>
          <w:color w:val="000000"/>
          <w:szCs w:val="20"/>
          <w:shd w:val="clear" w:color="auto" w:fill="FFFFFF"/>
        </w:rPr>
        <w:t>. New York: Routledge.</w:t>
      </w:r>
    </w:p>
    <w:p w14:paraId="000000ED" w14:textId="77777777" w:rsidR="00284308" w:rsidRPr="00B15279" w:rsidRDefault="00284308">
      <w:pPr>
        <w:rPr>
          <w:rFonts w:asciiTheme="majorHAnsi" w:eastAsia="Century Schoolbook" w:hAnsiTheme="majorHAnsi" w:cs="Century Schoolbook"/>
          <w:highlight w:val="white"/>
        </w:rPr>
      </w:pPr>
    </w:p>
    <w:p w14:paraId="651C1722" w14:textId="77777777" w:rsidR="00B15279" w:rsidRPr="00B15279" w:rsidRDefault="00B15279" w:rsidP="009D07D6">
      <w:pPr>
        <w:ind w:left="720" w:hanging="720"/>
        <w:rPr>
          <w:rFonts w:asciiTheme="majorHAnsi" w:eastAsia="Century Schoolbook" w:hAnsiTheme="majorHAnsi" w:cs="Century Schoolbook"/>
          <w:highlight w:val="white"/>
        </w:rPr>
      </w:pPr>
    </w:p>
    <w:p w14:paraId="000000EE" w14:textId="1C0774E4" w:rsidR="00284308" w:rsidRPr="00B15279" w:rsidRDefault="00EE5CAD" w:rsidP="009D07D6">
      <w:pPr>
        <w:ind w:left="720" w:hanging="720"/>
        <w:rPr>
          <w:rFonts w:asciiTheme="majorHAnsi" w:eastAsia="Century Schoolbook" w:hAnsiTheme="majorHAnsi" w:cs="Century Schoolbook"/>
          <w:highlight w:val="white"/>
        </w:rPr>
      </w:pPr>
      <w:r w:rsidRPr="00B15279">
        <w:rPr>
          <w:rFonts w:asciiTheme="majorHAnsi" w:eastAsia="Century Schoolbook" w:hAnsiTheme="majorHAnsi" w:cs="Century Schoolbook"/>
          <w:highlight w:val="white"/>
        </w:rPr>
        <w:t xml:space="preserve">Seattle Department of Transportation. (2018). </w:t>
      </w:r>
      <w:r w:rsidRPr="00B15279">
        <w:rPr>
          <w:rFonts w:asciiTheme="majorHAnsi" w:eastAsia="Century Schoolbook" w:hAnsiTheme="majorHAnsi" w:cs="Century Schoolbook"/>
          <w:i/>
          <w:highlight w:val="white"/>
        </w:rPr>
        <w:t>Learning landscapes Northgate Elementary</w:t>
      </w:r>
      <w:r w:rsidRPr="00B15279">
        <w:rPr>
          <w:rFonts w:asciiTheme="majorHAnsi" w:eastAsia="Century Schoolbook" w:hAnsiTheme="majorHAnsi" w:cs="Century Schoolbook"/>
          <w:highlight w:val="white"/>
        </w:rPr>
        <w:t xml:space="preserve"> [</w:t>
      </w:r>
      <w:proofErr w:type="spellStart"/>
      <w:r w:rsidRPr="00B15279">
        <w:rPr>
          <w:rFonts w:asciiTheme="majorHAnsi" w:eastAsia="Century Schoolbook" w:hAnsiTheme="majorHAnsi" w:cs="Century Schoolbook"/>
          <w:highlight w:val="white"/>
        </w:rPr>
        <w:t>Ebook</w:t>
      </w:r>
      <w:proofErr w:type="spellEnd"/>
      <w:r w:rsidRPr="00B15279">
        <w:rPr>
          <w:rFonts w:asciiTheme="majorHAnsi" w:eastAsia="Century Schoolbook" w:hAnsiTheme="majorHAnsi" w:cs="Century Schoolbook"/>
          <w:highlight w:val="white"/>
        </w:rPr>
        <w:t xml:space="preserve">]. Retrieved from </w:t>
      </w:r>
      <w:hyperlink r:id="rId21">
        <w:r w:rsidRPr="00B15279">
          <w:rPr>
            <w:rFonts w:asciiTheme="majorHAnsi" w:eastAsia="Century Schoolbook" w:hAnsiTheme="majorHAnsi" w:cs="Century Schoolbook"/>
            <w:highlight w:val="white"/>
          </w:rPr>
          <w:t>https://www.seattle.gov/Documents/Departments/SDOT/SRTS/Final_LL_Packet.pdf</w:t>
        </w:r>
      </w:hyperlink>
      <w:r w:rsidRPr="00B15279">
        <w:rPr>
          <w:rFonts w:asciiTheme="majorHAnsi" w:eastAsia="Century Schoolbook" w:hAnsiTheme="majorHAnsi" w:cs="Century Schoolbook"/>
          <w:highlight w:val="white"/>
        </w:rPr>
        <w:t>.</w:t>
      </w:r>
    </w:p>
    <w:p w14:paraId="000000EF" w14:textId="77777777" w:rsidR="00284308" w:rsidRPr="00B15279" w:rsidRDefault="00284308">
      <w:pPr>
        <w:rPr>
          <w:rFonts w:asciiTheme="majorHAnsi" w:eastAsia="Century Schoolbook" w:hAnsiTheme="majorHAnsi" w:cs="Century Schoolbook"/>
          <w:highlight w:val="white"/>
        </w:rPr>
      </w:pPr>
    </w:p>
    <w:p w14:paraId="000000F0" w14:textId="77777777" w:rsidR="00284308" w:rsidRPr="00B15279" w:rsidRDefault="00284308">
      <w:pPr>
        <w:ind w:left="720" w:hanging="720"/>
        <w:rPr>
          <w:rFonts w:asciiTheme="majorHAnsi" w:eastAsia="Century Schoolbook" w:hAnsiTheme="majorHAnsi" w:cs="Century Schoolbook"/>
          <w:highlight w:val="white"/>
        </w:rPr>
      </w:pPr>
    </w:p>
    <w:p w14:paraId="000000F1" w14:textId="77777777" w:rsidR="00284308" w:rsidRPr="00B15279" w:rsidRDefault="00EE5CAD">
      <w:pPr>
        <w:ind w:left="720" w:hanging="720"/>
        <w:rPr>
          <w:rFonts w:asciiTheme="majorHAnsi" w:eastAsia="Century Schoolbook" w:hAnsiTheme="majorHAnsi" w:cs="Century Schoolbook"/>
        </w:rPr>
      </w:pPr>
      <w:r w:rsidRPr="00B15279">
        <w:rPr>
          <w:rFonts w:asciiTheme="majorHAnsi" w:eastAsia="Century Schoolbook" w:hAnsiTheme="majorHAnsi" w:cs="Century Schoolbook"/>
          <w:highlight w:val="white"/>
        </w:rPr>
        <w:t xml:space="preserve">Seattle Department of Transportation. (2019). </w:t>
      </w:r>
      <w:r w:rsidRPr="00B15279">
        <w:rPr>
          <w:rFonts w:asciiTheme="majorHAnsi" w:eastAsia="Century Schoolbook" w:hAnsiTheme="majorHAnsi" w:cs="Century Schoolbook"/>
          <w:i/>
          <w:highlight w:val="white"/>
        </w:rPr>
        <w:t>Pedestrian wayfinding strategy</w:t>
      </w:r>
      <w:r w:rsidRPr="00B15279">
        <w:rPr>
          <w:rFonts w:asciiTheme="majorHAnsi" w:eastAsia="Century Schoolbook" w:hAnsiTheme="majorHAnsi" w:cs="Century Schoolbook"/>
          <w:highlight w:val="white"/>
        </w:rPr>
        <w:t xml:space="preserve"> [</w:t>
      </w:r>
      <w:proofErr w:type="spellStart"/>
      <w:r w:rsidRPr="00B15279">
        <w:rPr>
          <w:rFonts w:asciiTheme="majorHAnsi" w:eastAsia="Century Schoolbook" w:hAnsiTheme="majorHAnsi" w:cs="Century Schoolbook"/>
          <w:highlight w:val="white"/>
        </w:rPr>
        <w:t>Ebook</w:t>
      </w:r>
      <w:proofErr w:type="spellEnd"/>
      <w:r w:rsidRPr="00B15279">
        <w:rPr>
          <w:rFonts w:asciiTheme="majorHAnsi" w:eastAsia="Century Schoolbook" w:hAnsiTheme="majorHAnsi" w:cs="Century Schoolbook"/>
          <w:highlight w:val="white"/>
        </w:rPr>
        <w:t>]. Retrieved from http://www.seattle.gov/Documents/Departments/SDOT/Urb</w:t>
      </w:r>
      <w:r w:rsidRPr="00B15279">
        <w:rPr>
          <w:rFonts w:asciiTheme="majorHAnsi" w:eastAsia="Century Schoolbook" w:hAnsiTheme="majorHAnsi" w:cs="Century Schoolbook"/>
          <w:highlight w:val="white"/>
        </w:rPr>
        <w:t>anDesignProgram/PedestrianWayfindingProgram/Wayfinding%20Strategy_July2019_SDOT%20Edit.pdf.</w:t>
      </w:r>
    </w:p>
    <w:p w14:paraId="000000F2" w14:textId="77777777" w:rsidR="00284308" w:rsidRPr="00B15279" w:rsidRDefault="00284308">
      <w:pPr>
        <w:ind w:left="720" w:hanging="720"/>
        <w:rPr>
          <w:rFonts w:asciiTheme="majorHAnsi" w:eastAsia="Century Schoolbook" w:hAnsiTheme="majorHAnsi" w:cs="Century Schoolbook"/>
          <w:i/>
          <w:highlight w:val="white"/>
        </w:rPr>
      </w:pPr>
    </w:p>
    <w:p w14:paraId="000000F3" w14:textId="77777777" w:rsidR="00284308" w:rsidRPr="00B15279" w:rsidRDefault="00284308">
      <w:pPr>
        <w:ind w:left="720"/>
        <w:rPr>
          <w:rFonts w:asciiTheme="majorHAnsi" w:eastAsia="Century Schoolbook" w:hAnsiTheme="majorHAnsi" w:cs="Century Schoolbook"/>
          <w:highlight w:val="white"/>
        </w:rPr>
      </w:pPr>
    </w:p>
    <w:p w14:paraId="000000F4" w14:textId="77777777" w:rsidR="00284308" w:rsidRPr="00B15279" w:rsidRDefault="00EE5CAD" w:rsidP="009D07D6">
      <w:pPr>
        <w:ind w:left="720" w:hanging="720"/>
        <w:rPr>
          <w:rFonts w:asciiTheme="majorHAnsi" w:eastAsia="Century Schoolbook" w:hAnsiTheme="majorHAnsi" w:cs="Century Schoolbook"/>
          <w:highlight w:val="white"/>
        </w:rPr>
      </w:pPr>
      <w:r w:rsidRPr="00B15279">
        <w:rPr>
          <w:rFonts w:asciiTheme="majorHAnsi" w:eastAsia="Century Schoolbook" w:hAnsiTheme="majorHAnsi" w:cs="Century Schoolbook"/>
          <w:highlight w:val="white"/>
        </w:rPr>
        <w:t xml:space="preserve">Seattle Department of Transportation. (2021). </w:t>
      </w:r>
      <w:r w:rsidRPr="00B15279">
        <w:rPr>
          <w:rFonts w:asciiTheme="majorHAnsi" w:eastAsia="Century Schoolbook" w:hAnsiTheme="majorHAnsi" w:cs="Century Schoolbook"/>
          <w:i/>
          <w:highlight w:val="white"/>
        </w:rPr>
        <w:t>Seamless Seattle Pedestrian Wayfinding Program</w:t>
      </w:r>
      <w:r w:rsidRPr="00B15279">
        <w:rPr>
          <w:rFonts w:asciiTheme="majorHAnsi" w:eastAsia="Century Schoolbook" w:hAnsiTheme="majorHAnsi" w:cs="Century Schoolbook"/>
          <w:highlight w:val="white"/>
        </w:rPr>
        <w:t>. Retrieved from http://www.seattle.gov/transportation/projects-and-programs/programs/urban-design-program/pedestrian-wayfinding.</w:t>
      </w:r>
    </w:p>
    <w:p w14:paraId="000000F5" w14:textId="77777777" w:rsidR="00284308" w:rsidRPr="00B15279" w:rsidRDefault="00284308">
      <w:pPr>
        <w:ind w:left="720" w:hanging="720"/>
        <w:rPr>
          <w:rFonts w:asciiTheme="majorHAnsi" w:eastAsia="Century Schoolbook" w:hAnsiTheme="majorHAnsi" w:cs="Century Schoolbook"/>
          <w:i/>
          <w:highlight w:val="white"/>
        </w:rPr>
      </w:pPr>
    </w:p>
    <w:p w14:paraId="000000F6" w14:textId="77777777" w:rsidR="00284308" w:rsidRPr="00B15279" w:rsidRDefault="00284308">
      <w:pPr>
        <w:ind w:left="720" w:hanging="720"/>
        <w:rPr>
          <w:rFonts w:asciiTheme="majorHAnsi" w:eastAsia="Century Schoolbook" w:hAnsiTheme="majorHAnsi" w:cs="Century Schoolbook"/>
          <w:i/>
          <w:highlight w:val="white"/>
        </w:rPr>
      </w:pPr>
    </w:p>
    <w:p w14:paraId="000000F7" w14:textId="77777777" w:rsidR="00284308" w:rsidRPr="00B15279" w:rsidRDefault="00EE5CAD">
      <w:pPr>
        <w:ind w:left="720" w:hanging="720"/>
        <w:rPr>
          <w:rFonts w:asciiTheme="majorHAnsi" w:eastAsia="Century Schoolbook" w:hAnsiTheme="majorHAnsi" w:cs="Century Schoolbook"/>
          <w:highlight w:val="white"/>
        </w:rPr>
      </w:pPr>
      <w:r w:rsidRPr="00B15279">
        <w:rPr>
          <w:rFonts w:asciiTheme="majorHAnsi" w:eastAsia="Century Schoolbook" w:hAnsiTheme="majorHAnsi" w:cs="Century Schoolbook"/>
          <w:i/>
          <w:highlight w:val="white"/>
        </w:rPr>
        <w:t>South Sacramento safe routes to school 2018-2019 program highlights</w:t>
      </w:r>
      <w:r w:rsidRPr="00B15279">
        <w:rPr>
          <w:rFonts w:asciiTheme="majorHAnsi" w:eastAsia="Century Schoolbook" w:hAnsiTheme="majorHAnsi" w:cs="Century Schoolbook"/>
          <w:highlight w:val="white"/>
        </w:rPr>
        <w:t xml:space="preserve">. Walk Sacramento. (2020). Retrieved from </w:t>
      </w:r>
      <w:hyperlink r:id="rId22">
        <w:r w:rsidRPr="00B15279">
          <w:rPr>
            <w:rFonts w:asciiTheme="majorHAnsi" w:eastAsia="Century Schoolbook" w:hAnsiTheme="majorHAnsi" w:cs="Century Schoolbook"/>
            <w:highlight w:val="white"/>
          </w:rPr>
          <w:t>https://www.walksacramento.org/wp-content/uploads/2020/02/2018-19-SRTS-Program-Highlights.pdf</w:t>
        </w:r>
      </w:hyperlink>
      <w:r w:rsidRPr="00B15279">
        <w:rPr>
          <w:rFonts w:asciiTheme="majorHAnsi" w:eastAsia="Century Schoolbook" w:hAnsiTheme="majorHAnsi" w:cs="Century Schoolbook"/>
          <w:highlight w:val="white"/>
        </w:rPr>
        <w:t>.</w:t>
      </w:r>
    </w:p>
    <w:p w14:paraId="000000F8" w14:textId="77777777" w:rsidR="00284308" w:rsidRPr="00B15279" w:rsidRDefault="00284308">
      <w:pPr>
        <w:spacing w:line="480" w:lineRule="auto"/>
        <w:rPr>
          <w:rFonts w:asciiTheme="majorHAnsi" w:eastAsia="Century Schoolbook" w:hAnsiTheme="majorHAnsi" w:cs="Century Schoolbook"/>
          <w:szCs w:val="20"/>
          <w:highlight w:val="white"/>
        </w:rPr>
      </w:pPr>
    </w:p>
    <w:p w14:paraId="000000F9" w14:textId="77777777" w:rsidR="00284308" w:rsidRPr="00B15279" w:rsidRDefault="00EE5CAD">
      <w:pPr>
        <w:ind w:left="720" w:hanging="720"/>
        <w:rPr>
          <w:rFonts w:asciiTheme="majorHAnsi" w:eastAsia="Century Schoolbook" w:hAnsiTheme="majorHAnsi" w:cs="Century Schoolbook"/>
        </w:rPr>
      </w:pPr>
      <w:r w:rsidRPr="00B15279">
        <w:rPr>
          <w:rFonts w:asciiTheme="majorHAnsi" w:eastAsia="Century Schoolbook" w:hAnsiTheme="majorHAnsi" w:cs="Century Schoolbook"/>
        </w:rPr>
        <w:t>Stafford, Lisa, &amp; Baldwin, Claudia. (2018). Planning walkable neighborhoods. Journal of Planning Literature, 33(1), 17-30.</w:t>
      </w:r>
    </w:p>
    <w:p w14:paraId="000000FA" w14:textId="77777777" w:rsidR="00284308" w:rsidRPr="00B15279" w:rsidRDefault="00284308">
      <w:pPr>
        <w:spacing w:line="480" w:lineRule="auto"/>
        <w:rPr>
          <w:rFonts w:asciiTheme="majorHAnsi" w:eastAsia="Century Schoolbook" w:hAnsiTheme="majorHAnsi" w:cs="Century Schoolbook"/>
        </w:rPr>
      </w:pPr>
    </w:p>
    <w:p w14:paraId="000000FB" w14:textId="77777777" w:rsidR="00284308" w:rsidRPr="00B15279" w:rsidRDefault="00EE5CAD">
      <w:pPr>
        <w:pBdr>
          <w:top w:val="nil"/>
          <w:left w:val="nil"/>
          <w:bottom w:val="nil"/>
          <w:right w:val="nil"/>
          <w:between w:val="nil"/>
        </w:pBdr>
        <w:ind w:left="720" w:hanging="720"/>
        <w:rPr>
          <w:rFonts w:asciiTheme="majorHAnsi" w:eastAsia="Century Schoolbook" w:hAnsiTheme="majorHAnsi" w:cs="Century Schoolbook"/>
        </w:rPr>
      </w:pPr>
      <w:r w:rsidRPr="00B15279">
        <w:rPr>
          <w:rFonts w:asciiTheme="majorHAnsi" w:eastAsia="Century Schoolbook" w:hAnsiTheme="majorHAnsi" w:cs="Century Schoolbook"/>
        </w:rPr>
        <w:lastRenderedPageBreak/>
        <w:t>Suarez-</w:t>
      </w:r>
      <w:proofErr w:type="spellStart"/>
      <w:r w:rsidRPr="00B15279">
        <w:rPr>
          <w:rFonts w:asciiTheme="majorHAnsi" w:eastAsia="Century Schoolbook" w:hAnsiTheme="majorHAnsi" w:cs="Century Schoolbook"/>
        </w:rPr>
        <w:t>Balcazar</w:t>
      </w:r>
      <w:proofErr w:type="spellEnd"/>
      <w:r w:rsidRPr="00B15279">
        <w:rPr>
          <w:rFonts w:asciiTheme="majorHAnsi" w:eastAsia="Century Schoolbook" w:hAnsiTheme="majorHAnsi" w:cs="Century Schoolbook"/>
        </w:rPr>
        <w:t xml:space="preserve">, Yolanda, Early, Amy R, Garcia, Claudia, </w:t>
      </w:r>
      <w:proofErr w:type="spellStart"/>
      <w:r w:rsidRPr="00B15279">
        <w:rPr>
          <w:rFonts w:asciiTheme="majorHAnsi" w:eastAsia="Century Schoolbook" w:hAnsiTheme="majorHAnsi" w:cs="Century Schoolbook"/>
        </w:rPr>
        <w:t>Balcazar</w:t>
      </w:r>
      <w:proofErr w:type="spellEnd"/>
      <w:r w:rsidRPr="00B15279">
        <w:rPr>
          <w:rFonts w:asciiTheme="majorHAnsi" w:eastAsia="Century Schoolbook" w:hAnsiTheme="majorHAnsi" w:cs="Century Schoolbook"/>
        </w:rPr>
        <w:t xml:space="preserve">, Daniel, Arias, </w:t>
      </w:r>
      <w:proofErr w:type="spellStart"/>
      <w:r w:rsidRPr="00B15279">
        <w:rPr>
          <w:rFonts w:asciiTheme="majorHAnsi" w:eastAsia="Century Schoolbook" w:hAnsiTheme="majorHAnsi" w:cs="Century Schoolbook"/>
        </w:rPr>
        <w:t>Dalmina</w:t>
      </w:r>
      <w:proofErr w:type="spellEnd"/>
      <w:r w:rsidRPr="00B15279">
        <w:rPr>
          <w:rFonts w:asciiTheme="majorHAnsi" w:eastAsia="Century Schoolbook" w:hAnsiTheme="majorHAnsi" w:cs="Century Schoolbook"/>
        </w:rPr>
        <w:t xml:space="preserve"> L, &amp; Morales, Miguel. (2020). Walkability </w:t>
      </w:r>
      <w:r w:rsidRPr="00B15279">
        <w:rPr>
          <w:rFonts w:asciiTheme="majorHAnsi" w:eastAsia="Century Schoolbook" w:hAnsiTheme="majorHAnsi" w:cs="Century Schoolbook"/>
        </w:rPr>
        <w:t>safety and walkability participation: A Health Concern. Health Education &amp; Behavior, 47(3), 430-438.</w:t>
      </w:r>
    </w:p>
    <w:p w14:paraId="000000FC"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szCs w:val="28"/>
        </w:rPr>
      </w:pPr>
    </w:p>
    <w:p w14:paraId="000000FD" w14:textId="77777777" w:rsidR="00284308" w:rsidRPr="00B15279" w:rsidRDefault="00EE5CAD">
      <w:pPr>
        <w:pBdr>
          <w:top w:val="nil"/>
          <w:left w:val="nil"/>
          <w:bottom w:val="nil"/>
          <w:right w:val="nil"/>
          <w:between w:val="nil"/>
        </w:pBdr>
        <w:ind w:left="720" w:hanging="720"/>
        <w:rPr>
          <w:rFonts w:asciiTheme="majorHAnsi" w:eastAsia="Century Schoolbook" w:hAnsiTheme="majorHAnsi" w:cs="Century Schoolbook"/>
          <w:szCs w:val="28"/>
        </w:rPr>
      </w:pPr>
      <w:r w:rsidRPr="00B15279">
        <w:rPr>
          <w:rFonts w:asciiTheme="majorHAnsi" w:eastAsia="Century Schoolbook" w:hAnsiTheme="majorHAnsi" w:cs="Century Schoolbook"/>
          <w:i/>
          <w:highlight w:val="white"/>
        </w:rPr>
        <w:t>The Burden of Diabetes in California</w:t>
      </w:r>
      <w:r w:rsidRPr="00B15279">
        <w:rPr>
          <w:rFonts w:asciiTheme="majorHAnsi" w:eastAsia="Century Schoolbook" w:hAnsiTheme="majorHAnsi" w:cs="Century Schoolbook"/>
          <w:highlight w:val="white"/>
        </w:rPr>
        <w:t>. American Diabetes Association. (2021). Retrieved from http://main.diabetes.org/dorg/PDFs/Advocacy/burden-of-diabetes</w:t>
      </w:r>
      <w:r w:rsidRPr="00B15279">
        <w:rPr>
          <w:rFonts w:asciiTheme="majorHAnsi" w:eastAsia="Century Schoolbook" w:hAnsiTheme="majorHAnsi" w:cs="Century Schoolbook"/>
          <w:highlight w:val="white"/>
        </w:rPr>
        <w:t>/california.pdf.</w:t>
      </w:r>
    </w:p>
    <w:p w14:paraId="000000FE" w14:textId="77777777" w:rsidR="00284308" w:rsidRPr="00B15279" w:rsidRDefault="00284308">
      <w:pPr>
        <w:pBdr>
          <w:top w:val="nil"/>
          <w:left w:val="nil"/>
          <w:bottom w:val="nil"/>
          <w:right w:val="nil"/>
          <w:between w:val="nil"/>
        </w:pBdr>
        <w:spacing w:line="480" w:lineRule="auto"/>
        <w:rPr>
          <w:rFonts w:asciiTheme="majorHAnsi" w:eastAsia="Century Schoolbook" w:hAnsiTheme="majorHAnsi" w:cs="Century Schoolbook"/>
        </w:rPr>
      </w:pPr>
    </w:p>
    <w:p w14:paraId="000000FF" w14:textId="77777777" w:rsidR="00284308" w:rsidRPr="00B15279" w:rsidRDefault="00EE5CAD">
      <w:pPr>
        <w:pBdr>
          <w:top w:val="nil"/>
          <w:left w:val="nil"/>
          <w:bottom w:val="nil"/>
          <w:right w:val="nil"/>
          <w:between w:val="nil"/>
        </w:pBdr>
        <w:ind w:left="720" w:hanging="720"/>
        <w:rPr>
          <w:rFonts w:asciiTheme="majorHAnsi" w:eastAsia="Century Schoolbook" w:hAnsiTheme="majorHAnsi" w:cs="Century Schoolbook"/>
          <w:highlight w:val="white"/>
        </w:rPr>
      </w:pPr>
      <w:r w:rsidRPr="00B15279">
        <w:rPr>
          <w:rFonts w:asciiTheme="majorHAnsi" w:eastAsia="Century Schoolbook" w:hAnsiTheme="majorHAnsi" w:cs="Century Schoolbook"/>
          <w:highlight w:val="white"/>
        </w:rPr>
        <w:t xml:space="preserve">Transport of London. (2007). </w:t>
      </w:r>
      <w:r w:rsidRPr="00B15279">
        <w:rPr>
          <w:rFonts w:asciiTheme="majorHAnsi" w:eastAsia="Century Schoolbook" w:hAnsiTheme="majorHAnsi" w:cs="Century Schoolbook"/>
          <w:i/>
          <w:highlight w:val="white"/>
        </w:rPr>
        <w:t>Yellow book a prototype wayfinding system for London</w:t>
      </w:r>
      <w:r w:rsidRPr="00B15279">
        <w:rPr>
          <w:rFonts w:asciiTheme="majorHAnsi" w:eastAsia="Century Schoolbook" w:hAnsiTheme="majorHAnsi" w:cs="Century Schoolbook"/>
          <w:highlight w:val="white"/>
        </w:rPr>
        <w:t xml:space="preserve"> [</w:t>
      </w:r>
      <w:proofErr w:type="spellStart"/>
      <w:r w:rsidRPr="00B15279">
        <w:rPr>
          <w:rFonts w:asciiTheme="majorHAnsi" w:eastAsia="Century Schoolbook" w:hAnsiTheme="majorHAnsi" w:cs="Century Schoolbook"/>
          <w:highlight w:val="white"/>
        </w:rPr>
        <w:t>Ebook</w:t>
      </w:r>
      <w:proofErr w:type="spellEnd"/>
      <w:r w:rsidRPr="00B15279">
        <w:rPr>
          <w:rFonts w:asciiTheme="majorHAnsi" w:eastAsia="Century Schoolbook" w:hAnsiTheme="majorHAnsi" w:cs="Century Schoolbook"/>
          <w:highlight w:val="white"/>
        </w:rPr>
        <w:t xml:space="preserve">]. Retrieved from </w:t>
      </w:r>
      <w:hyperlink r:id="rId23">
        <w:r w:rsidRPr="00B15279">
          <w:rPr>
            <w:rFonts w:asciiTheme="majorHAnsi" w:eastAsia="Century Schoolbook" w:hAnsiTheme="majorHAnsi" w:cs="Century Schoolbook"/>
            <w:highlight w:val="white"/>
          </w:rPr>
          <w:t>https://content.tfl.gov.uk/ll-yellow-book.pdf</w:t>
        </w:r>
      </w:hyperlink>
      <w:r w:rsidRPr="00B15279">
        <w:rPr>
          <w:rFonts w:asciiTheme="majorHAnsi" w:eastAsia="Century Schoolbook" w:hAnsiTheme="majorHAnsi" w:cs="Century Schoolbook"/>
          <w:highlight w:val="white"/>
        </w:rPr>
        <w:t>.</w:t>
      </w:r>
    </w:p>
    <w:p w14:paraId="00000100" w14:textId="77777777" w:rsidR="00284308" w:rsidRPr="00B15279" w:rsidRDefault="00284308">
      <w:pPr>
        <w:pBdr>
          <w:top w:val="nil"/>
          <w:left w:val="nil"/>
          <w:bottom w:val="nil"/>
          <w:right w:val="nil"/>
          <w:between w:val="nil"/>
        </w:pBdr>
        <w:spacing w:line="480" w:lineRule="auto"/>
        <w:ind w:left="720" w:hanging="720"/>
        <w:rPr>
          <w:rFonts w:asciiTheme="majorHAnsi" w:eastAsia="Century Schoolbook" w:hAnsiTheme="majorHAnsi" w:cs="Century Schoolbook"/>
          <w:szCs w:val="20"/>
          <w:highlight w:val="white"/>
        </w:rPr>
      </w:pPr>
    </w:p>
    <w:p w14:paraId="00000101" w14:textId="1C4470CF" w:rsidR="00284308" w:rsidRPr="00B15279" w:rsidRDefault="00EE5CAD" w:rsidP="009D07D6">
      <w:pPr>
        <w:ind w:left="720" w:hanging="720"/>
        <w:rPr>
          <w:rFonts w:asciiTheme="majorHAnsi" w:eastAsia="Century Schoolbook" w:hAnsiTheme="majorHAnsi" w:cs="Century Schoolbook"/>
          <w:highlight w:val="white"/>
        </w:rPr>
      </w:pPr>
      <w:r w:rsidRPr="00B15279">
        <w:rPr>
          <w:rFonts w:asciiTheme="majorHAnsi" w:eastAsia="Century Schoolbook" w:hAnsiTheme="majorHAnsi" w:cs="Century Schoolbook"/>
          <w:highlight w:val="white"/>
        </w:rPr>
        <w:t xml:space="preserve">U.S. Department of Transportation. (2020). </w:t>
      </w:r>
      <w:r w:rsidRPr="00B15279">
        <w:rPr>
          <w:rFonts w:asciiTheme="majorHAnsi" w:eastAsia="Century Schoolbook" w:hAnsiTheme="majorHAnsi" w:cs="Century Schoolbook"/>
          <w:i/>
          <w:highlight w:val="white"/>
        </w:rPr>
        <w:t>Local Highway Safety Improvement Program Cycle 10 Call for Projects</w:t>
      </w:r>
      <w:r w:rsidRPr="00B15279">
        <w:rPr>
          <w:rFonts w:asciiTheme="majorHAnsi" w:eastAsia="Century Schoolbook" w:hAnsiTheme="majorHAnsi" w:cs="Century Schoolbook"/>
          <w:highlight w:val="white"/>
        </w:rPr>
        <w:t>. [</w:t>
      </w:r>
      <w:proofErr w:type="spellStart"/>
      <w:r w:rsidRPr="00B15279">
        <w:rPr>
          <w:rFonts w:asciiTheme="majorHAnsi" w:eastAsia="Century Schoolbook" w:hAnsiTheme="majorHAnsi" w:cs="Century Schoolbook"/>
          <w:highlight w:val="white"/>
        </w:rPr>
        <w:t>Ebook</w:t>
      </w:r>
      <w:proofErr w:type="spellEnd"/>
      <w:r w:rsidRPr="00B15279">
        <w:rPr>
          <w:rFonts w:asciiTheme="majorHAnsi" w:eastAsia="Century Schoolbook" w:hAnsiTheme="majorHAnsi" w:cs="Century Schoolbook"/>
          <w:highlight w:val="white"/>
        </w:rPr>
        <w:t xml:space="preserve">]. Retrieved from </w:t>
      </w:r>
      <w:hyperlink r:id="rId24">
        <w:r w:rsidRPr="00B15279">
          <w:rPr>
            <w:rFonts w:asciiTheme="majorHAnsi" w:eastAsia="Century Schoolbook" w:hAnsiTheme="majorHAnsi" w:cs="Century Schoolbook"/>
            <w:highlight w:val="white"/>
          </w:rPr>
          <w:t>https://dot.ca.gov/-/media/dot-media/programs/local-assistance/documents/hsip/2020/hsipcycle10announcement.pdf</w:t>
        </w:r>
      </w:hyperlink>
      <w:r w:rsidR="009D07D6" w:rsidRPr="00B15279">
        <w:rPr>
          <w:rFonts w:asciiTheme="majorHAnsi" w:eastAsia="Century Schoolbook" w:hAnsiTheme="majorHAnsi" w:cs="Century Schoolbook"/>
          <w:highlight w:val="white"/>
        </w:rPr>
        <w:t>.</w:t>
      </w:r>
    </w:p>
    <w:p w14:paraId="00000102" w14:textId="77777777" w:rsidR="00284308" w:rsidRPr="00B15279" w:rsidRDefault="00284308">
      <w:pPr>
        <w:pBdr>
          <w:top w:val="nil"/>
          <w:left w:val="nil"/>
          <w:bottom w:val="nil"/>
          <w:right w:val="nil"/>
          <w:between w:val="nil"/>
        </w:pBdr>
        <w:ind w:left="720" w:hanging="720"/>
        <w:rPr>
          <w:rFonts w:asciiTheme="majorHAnsi" w:eastAsia="Century Schoolbook" w:hAnsiTheme="majorHAnsi" w:cs="Century Schoolbook"/>
          <w:highlight w:val="white"/>
        </w:rPr>
      </w:pPr>
    </w:p>
    <w:p w14:paraId="00000103" w14:textId="77777777" w:rsidR="00284308" w:rsidRPr="00B15279" w:rsidRDefault="00284308">
      <w:pPr>
        <w:pBdr>
          <w:top w:val="nil"/>
          <w:left w:val="nil"/>
          <w:bottom w:val="nil"/>
          <w:right w:val="nil"/>
          <w:between w:val="nil"/>
        </w:pBdr>
        <w:ind w:left="720" w:hanging="720"/>
        <w:rPr>
          <w:rFonts w:asciiTheme="majorHAnsi" w:eastAsia="Century Schoolbook" w:hAnsiTheme="majorHAnsi" w:cs="Century Schoolbook"/>
          <w:highlight w:val="white"/>
        </w:rPr>
      </w:pPr>
    </w:p>
    <w:p w14:paraId="00000104" w14:textId="04BE86C2" w:rsidR="00284308" w:rsidRPr="00B15279" w:rsidRDefault="00EE5CAD">
      <w:pPr>
        <w:pBdr>
          <w:top w:val="nil"/>
          <w:left w:val="nil"/>
          <w:bottom w:val="nil"/>
          <w:right w:val="nil"/>
          <w:between w:val="nil"/>
        </w:pBdr>
        <w:ind w:left="720" w:hanging="720"/>
        <w:rPr>
          <w:rFonts w:asciiTheme="majorHAnsi" w:eastAsia="Century Schoolbook" w:hAnsiTheme="majorHAnsi" w:cs="Century Schoolbook"/>
          <w:highlight w:val="white"/>
        </w:rPr>
      </w:pPr>
      <w:r w:rsidRPr="00B15279">
        <w:rPr>
          <w:rFonts w:asciiTheme="majorHAnsi" w:eastAsia="Century Schoolbook" w:hAnsiTheme="majorHAnsi" w:cs="Century Schoolbook"/>
          <w:highlight w:val="white"/>
        </w:rPr>
        <w:t xml:space="preserve">Victoria State Government. (2017). </w:t>
      </w:r>
      <w:r w:rsidRPr="00B15279">
        <w:rPr>
          <w:rFonts w:asciiTheme="majorHAnsi" w:eastAsia="Century Schoolbook" w:hAnsiTheme="majorHAnsi" w:cs="Century Schoolbook"/>
          <w:i/>
          <w:highlight w:val="white"/>
        </w:rPr>
        <w:t>Plan Melbourne 2017-2050</w:t>
      </w:r>
      <w:r w:rsidRPr="00B15279">
        <w:rPr>
          <w:rFonts w:asciiTheme="majorHAnsi" w:eastAsia="Century Schoolbook" w:hAnsiTheme="majorHAnsi" w:cs="Century Schoolbook"/>
          <w:highlight w:val="white"/>
        </w:rPr>
        <w:t>. Retrieved from https://www.planmelbourne.vic.gov.au/__data/assets/pdf_fi</w:t>
      </w:r>
      <w:r w:rsidRPr="00B15279">
        <w:rPr>
          <w:rFonts w:asciiTheme="majorHAnsi" w:eastAsia="Century Schoolbook" w:hAnsiTheme="majorHAnsi" w:cs="Century Schoolbook"/>
          <w:highlight w:val="white"/>
        </w:rPr>
        <w:t>le/0007/377206/Plan_Melbourne_2017-2050_Strategy_.pdf</w:t>
      </w:r>
      <w:r w:rsidR="009D07D6" w:rsidRPr="00B15279">
        <w:rPr>
          <w:rFonts w:asciiTheme="majorHAnsi" w:eastAsia="Century Schoolbook" w:hAnsiTheme="majorHAnsi" w:cs="Century Schoolbook"/>
          <w:highlight w:val="white"/>
        </w:rPr>
        <w:t>.</w:t>
      </w:r>
    </w:p>
    <w:p w14:paraId="00000105" w14:textId="77777777" w:rsidR="00284308" w:rsidRPr="00B15279" w:rsidRDefault="00284308">
      <w:pPr>
        <w:pBdr>
          <w:top w:val="nil"/>
          <w:left w:val="nil"/>
          <w:bottom w:val="nil"/>
          <w:right w:val="nil"/>
          <w:between w:val="nil"/>
        </w:pBdr>
        <w:rPr>
          <w:rFonts w:asciiTheme="majorHAnsi" w:eastAsia="Century Schoolbook" w:hAnsiTheme="majorHAnsi" w:cs="Century Schoolbook"/>
          <w:szCs w:val="20"/>
          <w:highlight w:val="white"/>
        </w:rPr>
      </w:pPr>
    </w:p>
    <w:p w14:paraId="00000106" w14:textId="77777777" w:rsidR="00284308" w:rsidRPr="00B15279" w:rsidRDefault="00284308">
      <w:pPr>
        <w:pBdr>
          <w:top w:val="nil"/>
          <w:left w:val="nil"/>
          <w:bottom w:val="nil"/>
          <w:right w:val="nil"/>
          <w:between w:val="nil"/>
        </w:pBdr>
        <w:rPr>
          <w:rFonts w:asciiTheme="majorHAnsi" w:eastAsia="Century Schoolbook" w:hAnsiTheme="majorHAnsi" w:cs="Century Schoolbook"/>
          <w:szCs w:val="20"/>
          <w:highlight w:val="white"/>
        </w:rPr>
      </w:pPr>
    </w:p>
    <w:p w14:paraId="00000107" w14:textId="14F48C7E" w:rsidR="00284308" w:rsidRPr="00B15279" w:rsidRDefault="00EE5CAD">
      <w:pPr>
        <w:pBdr>
          <w:top w:val="nil"/>
          <w:left w:val="nil"/>
          <w:bottom w:val="nil"/>
          <w:right w:val="nil"/>
          <w:between w:val="nil"/>
        </w:pBdr>
        <w:ind w:left="720" w:hanging="720"/>
        <w:rPr>
          <w:rFonts w:asciiTheme="majorHAnsi" w:eastAsia="Century Schoolbook" w:hAnsiTheme="majorHAnsi" w:cs="Century Schoolbook"/>
        </w:rPr>
      </w:pPr>
      <w:r w:rsidRPr="00B15279">
        <w:rPr>
          <w:rFonts w:asciiTheme="majorHAnsi" w:eastAsia="Century Schoolbook" w:hAnsiTheme="majorHAnsi" w:cs="Century Schoolbook"/>
          <w:highlight w:val="white"/>
        </w:rPr>
        <w:t xml:space="preserve">Walk Score. n.d. </w:t>
      </w:r>
      <w:r w:rsidRPr="00B15279">
        <w:rPr>
          <w:rFonts w:asciiTheme="majorHAnsi" w:eastAsia="Century Schoolbook" w:hAnsiTheme="majorHAnsi" w:cs="Century Schoolbook"/>
          <w:i/>
          <w:highlight w:val="white"/>
        </w:rPr>
        <w:t>Living in Sacramento</w:t>
      </w:r>
      <w:r w:rsidRPr="00B15279">
        <w:rPr>
          <w:rFonts w:asciiTheme="majorHAnsi" w:eastAsia="Century Schoolbook" w:hAnsiTheme="majorHAnsi" w:cs="Century Schoolbook"/>
          <w:highlight w:val="white"/>
        </w:rPr>
        <w:t xml:space="preserve">. [online] </w:t>
      </w:r>
      <w:r w:rsidR="009D07D6" w:rsidRPr="00B15279">
        <w:rPr>
          <w:rFonts w:asciiTheme="majorHAnsi" w:eastAsia="Century Schoolbook" w:hAnsiTheme="majorHAnsi" w:cs="Century Schoolbook"/>
          <w:highlight w:val="white"/>
        </w:rPr>
        <w:t xml:space="preserve">Retrieved from </w:t>
      </w:r>
      <w:r w:rsidRPr="00B15279">
        <w:rPr>
          <w:rFonts w:asciiTheme="majorHAnsi" w:eastAsia="Century Schoolbook" w:hAnsiTheme="majorHAnsi" w:cs="Century Schoolbook"/>
          <w:highlight w:val="white"/>
        </w:rPr>
        <w:t>https://www.walkscore.com/CA/Sacramento</w:t>
      </w:r>
      <w:r w:rsidR="009D07D6" w:rsidRPr="00B15279">
        <w:rPr>
          <w:rFonts w:asciiTheme="majorHAnsi" w:eastAsia="Century Schoolbook" w:hAnsiTheme="majorHAnsi" w:cs="Century Schoolbook"/>
        </w:rPr>
        <w:t>.</w:t>
      </w:r>
    </w:p>
    <w:p w14:paraId="00000108" w14:textId="77777777" w:rsidR="00284308" w:rsidRPr="00B15279" w:rsidRDefault="00284308">
      <w:pPr>
        <w:pBdr>
          <w:top w:val="nil"/>
          <w:left w:val="nil"/>
          <w:bottom w:val="nil"/>
          <w:right w:val="nil"/>
          <w:between w:val="nil"/>
        </w:pBdr>
        <w:rPr>
          <w:rFonts w:asciiTheme="majorHAnsi" w:eastAsia="Century Schoolbook" w:hAnsiTheme="majorHAnsi" w:cs="Century Schoolbook"/>
        </w:rPr>
      </w:pPr>
    </w:p>
    <w:p w14:paraId="00000109" w14:textId="77777777" w:rsidR="00284308" w:rsidRPr="00B15279" w:rsidRDefault="00284308">
      <w:pPr>
        <w:pBdr>
          <w:top w:val="nil"/>
          <w:left w:val="nil"/>
          <w:bottom w:val="nil"/>
          <w:right w:val="nil"/>
          <w:between w:val="nil"/>
        </w:pBdr>
        <w:rPr>
          <w:rFonts w:asciiTheme="majorHAnsi" w:eastAsia="Century Schoolbook" w:hAnsiTheme="majorHAnsi" w:cs="Century Schoolbook"/>
        </w:rPr>
      </w:pPr>
    </w:p>
    <w:p w14:paraId="0000010A" w14:textId="77777777" w:rsidR="00284308" w:rsidRPr="00B15279" w:rsidRDefault="00EE5CAD">
      <w:pPr>
        <w:pBdr>
          <w:top w:val="nil"/>
          <w:left w:val="nil"/>
          <w:bottom w:val="nil"/>
          <w:right w:val="nil"/>
          <w:between w:val="nil"/>
        </w:pBdr>
        <w:ind w:left="720" w:hanging="720"/>
        <w:rPr>
          <w:rFonts w:asciiTheme="majorHAnsi" w:eastAsia="Century Schoolbook" w:hAnsiTheme="majorHAnsi" w:cs="Century Schoolbook"/>
        </w:rPr>
      </w:pPr>
      <w:r w:rsidRPr="00B15279">
        <w:rPr>
          <w:rFonts w:asciiTheme="majorHAnsi" w:eastAsia="Century Schoolbook" w:hAnsiTheme="majorHAnsi" w:cs="Century Schoolbook"/>
        </w:rPr>
        <w:t xml:space="preserve">Won, </w:t>
      </w:r>
      <w:proofErr w:type="spellStart"/>
      <w:r w:rsidRPr="00B15279">
        <w:rPr>
          <w:rFonts w:asciiTheme="majorHAnsi" w:eastAsia="Century Schoolbook" w:hAnsiTheme="majorHAnsi" w:cs="Century Schoolbook"/>
        </w:rPr>
        <w:t>Jaewoong</w:t>
      </w:r>
      <w:proofErr w:type="spellEnd"/>
      <w:r w:rsidRPr="00B15279">
        <w:rPr>
          <w:rFonts w:asciiTheme="majorHAnsi" w:eastAsia="Century Schoolbook" w:hAnsiTheme="majorHAnsi" w:cs="Century Schoolbook"/>
        </w:rPr>
        <w:t xml:space="preserve">, Lee, </w:t>
      </w:r>
      <w:proofErr w:type="spellStart"/>
      <w:r w:rsidRPr="00B15279">
        <w:rPr>
          <w:rFonts w:asciiTheme="majorHAnsi" w:eastAsia="Century Schoolbook" w:hAnsiTheme="majorHAnsi" w:cs="Century Schoolbook"/>
        </w:rPr>
        <w:t>Chanam</w:t>
      </w:r>
      <w:proofErr w:type="spellEnd"/>
      <w:r w:rsidRPr="00B15279">
        <w:rPr>
          <w:rFonts w:asciiTheme="majorHAnsi" w:eastAsia="Century Schoolbook" w:hAnsiTheme="majorHAnsi" w:cs="Century Schoolbook"/>
        </w:rPr>
        <w:t>, &amp; Li, Wei. (2018). Are walkable neighborhoods more resilient to the foreclosure spillover effects? Journal of Planning Education and Research, 38(4), 463-476.</w:t>
      </w:r>
    </w:p>
    <w:p w14:paraId="0000010B" w14:textId="77777777" w:rsidR="00284308" w:rsidRDefault="00284308">
      <w:pPr>
        <w:pBdr>
          <w:top w:val="nil"/>
          <w:left w:val="nil"/>
          <w:bottom w:val="nil"/>
          <w:right w:val="nil"/>
          <w:between w:val="nil"/>
        </w:pBdr>
        <w:ind w:left="720" w:hanging="720"/>
        <w:rPr>
          <w:rFonts w:ascii="Century Schoolbook" w:eastAsia="Century Schoolbook" w:hAnsi="Century Schoolbook" w:cs="Century Schoolbook"/>
        </w:rPr>
      </w:pPr>
    </w:p>
    <w:p w14:paraId="0000010C" w14:textId="77777777" w:rsidR="00284308" w:rsidRDefault="00284308">
      <w:pPr>
        <w:pBdr>
          <w:top w:val="nil"/>
          <w:left w:val="nil"/>
          <w:bottom w:val="nil"/>
          <w:right w:val="nil"/>
          <w:between w:val="nil"/>
        </w:pBdr>
        <w:ind w:left="720" w:hanging="720"/>
        <w:rPr>
          <w:rFonts w:ascii="Century Schoolbook" w:eastAsia="Century Schoolbook" w:hAnsi="Century Schoolbook" w:cs="Century Schoolbook"/>
        </w:rPr>
      </w:pPr>
    </w:p>
    <w:p w14:paraId="0000010D" w14:textId="77777777" w:rsidR="00284308" w:rsidRDefault="00284308">
      <w:pPr>
        <w:ind w:left="720" w:hanging="720"/>
      </w:pPr>
    </w:p>
    <w:sectPr w:rsidR="0028430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9FC46" w14:textId="77777777" w:rsidR="00EE5CAD" w:rsidRDefault="00EE5CAD">
      <w:r>
        <w:separator/>
      </w:r>
    </w:p>
  </w:endnote>
  <w:endnote w:type="continuationSeparator" w:id="0">
    <w:p w14:paraId="5990DC0C" w14:textId="77777777" w:rsidR="00EE5CAD" w:rsidRDefault="00EE5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33187" w14:textId="77777777" w:rsidR="00EE5CAD" w:rsidRDefault="00EE5CAD">
      <w:r>
        <w:separator/>
      </w:r>
    </w:p>
  </w:footnote>
  <w:footnote w:type="continuationSeparator" w:id="0">
    <w:p w14:paraId="731E656A" w14:textId="77777777" w:rsidR="00EE5CAD" w:rsidRDefault="00EE5C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308"/>
    <w:rsid w:val="00007599"/>
    <w:rsid w:val="000246AF"/>
    <w:rsid w:val="00284308"/>
    <w:rsid w:val="0073315C"/>
    <w:rsid w:val="008A4582"/>
    <w:rsid w:val="009D07D6"/>
    <w:rsid w:val="00B15279"/>
    <w:rsid w:val="00B77B23"/>
    <w:rsid w:val="00BF460D"/>
    <w:rsid w:val="00EE5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4B02B"/>
  <w15:docId w15:val="{A46EB867-256E-F348-8E3C-BE908521F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rebuchet MS" w:hAnsi="Trebuchet MS" w:cs="Trebuchet MS"/>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27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D7865"/>
    <w:pPr>
      <w:keepNext/>
      <w:keepLines/>
      <w:spacing w:before="360" w:after="40"/>
      <w:outlineLvl w:val="0"/>
    </w:pPr>
    <w:rPr>
      <w:rFonts w:asciiTheme="majorHAnsi" w:eastAsiaTheme="majorEastAsia" w:hAnsiTheme="majorHAnsi" w:cstheme="majorBidi"/>
      <w:color w:val="6C643F" w:themeColor="accent6" w:themeShade="BF"/>
      <w:sz w:val="40"/>
      <w:szCs w:val="40"/>
    </w:rPr>
  </w:style>
  <w:style w:type="paragraph" w:styleId="Heading2">
    <w:name w:val="heading 2"/>
    <w:basedOn w:val="Normal"/>
    <w:next w:val="Normal"/>
    <w:link w:val="Heading2Char"/>
    <w:uiPriority w:val="9"/>
    <w:semiHidden/>
    <w:unhideWhenUsed/>
    <w:qFormat/>
    <w:rsid w:val="002D7865"/>
    <w:pPr>
      <w:keepNext/>
      <w:keepLines/>
      <w:spacing w:before="80"/>
      <w:outlineLvl w:val="1"/>
    </w:pPr>
    <w:rPr>
      <w:rFonts w:asciiTheme="majorHAnsi" w:eastAsiaTheme="majorEastAsia" w:hAnsiTheme="majorHAnsi" w:cstheme="majorBidi"/>
      <w:color w:val="6C643F" w:themeColor="accent6" w:themeShade="BF"/>
      <w:sz w:val="28"/>
      <w:szCs w:val="28"/>
    </w:rPr>
  </w:style>
  <w:style w:type="paragraph" w:styleId="Heading3">
    <w:name w:val="heading 3"/>
    <w:basedOn w:val="Normal"/>
    <w:next w:val="Normal"/>
    <w:link w:val="Heading3Char"/>
    <w:uiPriority w:val="9"/>
    <w:semiHidden/>
    <w:unhideWhenUsed/>
    <w:qFormat/>
    <w:rsid w:val="002D7865"/>
    <w:pPr>
      <w:keepNext/>
      <w:keepLines/>
      <w:spacing w:before="80"/>
      <w:outlineLvl w:val="2"/>
    </w:pPr>
    <w:rPr>
      <w:rFonts w:asciiTheme="majorHAnsi" w:eastAsiaTheme="majorEastAsia" w:hAnsiTheme="majorHAnsi" w:cstheme="majorBidi"/>
      <w:color w:val="6C643F" w:themeColor="accent6" w:themeShade="BF"/>
    </w:rPr>
  </w:style>
  <w:style w:type="paragraph" w:styleId="Heading4">
    <w:name w:val="heading 4"/>
    <w:basedOn w:val="Normal"/>
    <w:next w:val="Normal"/>
    <w:link w:val="Heading4Char"/>
    <w:uiPriority w:val="9"/>
    <w:semiHidden/>
    <w:unhideWhenUsed/>
    <w:qFormat/>
    <w:rsid w:val="002D7865"/>
    <w:pPr>
      <w:keepNext/>
      <w:keepLines/>
      <w:spacing w:before="80"/>
      <w:outlineLvl w:val="3"/>
    </w:pPr>
    <w:rPr>
      <w:rFonts w:asciiTheme="majorHAnsi" w:eastAsiaTheme="majorEastAsia" w:hAnsiTheme="majorHAnsi" w:cstheme="majorBidi"/>
      <w:color w:val="918655" w:themeColor="accent6"/>
      <w:sz w:val="22"/>
      <w:szCs w:val="22"/>
    </w:rPr>
  </w:style>
  <w:style w:type="paragraph" w:styleId="Heading5">
    <w:name w:val="heading 5"/>
    <w:basedOn w:val="Normal"/>
    <w:next w:val="Normal"/>
    <w:link w:val="Heading5Char"/>
    <w:uiPriority w:val="9"/>
    <w:semiHidden/>
    <w:unhideWhenUsed/>
    <w:qFormat/>
    <w:rsid w:val="002D7865"/>
    <w:pPr>
      <w:keepNext/>
      <w:keepLines/>
      <w:spacing w:before="40"/>
      <w:outlineLvl w:val="4"/>
    </w:pPr>
    <w:rPr>
      <w:rFonts w:asciiTheme="majorHAnsi" w:eastAsiaTheme="majorEastAsia" w:hAnsiTheme="majorHAnsi" w:cstheme="majorBidi"/>
      <w:i/>
      <w:iCs/>
      <w:color w:val="918655" w:themeColor="accent6"/>
      <w:sz w:val="22"/>
      <w:szCs w:val="22"/>
    </w:rPr>
  </w:style>
  <w:style w:type="paragraph" w:styleId="Heading6">
    <w:name w:val="heading 6"/>
    <w:basedOn w:val="Normal"/>
    <w:next w:val="Normal"/>
    <w:link w:val="Heading6Char"/>
    <w:uiPriority w:val="9"/>
    <w:semiHidden/>
    <w:unhideWhenUsed/>
    <w:qFormat/>
    <w:rsid w:val="002D7865"/>
    <w:pPr>
      <w:keepNext/>
      <w:keepLines/>
      <w:spacing w:before="40"/>
      <w:outlineLvl w:val="5"/>
    </w:pPr>
    <w:rPr>
      <w:rFonts w:asciiTheme="majorHAnsi" w:eastAsiaTheme="majorEastAsia" w:hAnsiTheme="majorHAnsi" w:cstheme="majorBidi"/>
      <w:color w:val="918655" w:themeColor="accent6"/>
    </w:rPr>
  </w:style>
  <w:style w:type="paragraph" w:styleId="Heading7">
    <w:name w:val="heading 7"/>
    <w:basedOn w:val="Normal"/>
    <w:next w:val="Normal"/>
    <w:link w:val="Heading7Char"/>
    <w:uiPriority w:val="9"/>
    <w:semiHidden/>
    <w:unhideWhenUsed/>
    <w:qFormat/>
    <w:rsid w:val="002D7865"/>
    <w:pPr>
      <w:keepNext/>
      <w:keepLines/>
      <w:spacing w:before="40"/>
      <w:outlineLvl w:val="6"/>
    </w:pPr>
    <w:rPr>
      <w:rFonts w:asciiTheme="majorHAnsi" w:eastAsiaTheme="majorEastAsia" w:hAnsiTheme="majorHAnsi" w:cstheme="majorBidi"/>
      <w:b/>
      <w:bCs/>
      <w:color w:val="918655" w:themeColor="accent6"/>
    </w:rPr>
  </w:style>
  <w:style w:type="paragraph" w:styleId="Heading8">
    <w:name w:val="heading 8"/>
    <w:basedOn w:val="Normal"/>
    <w:next w:val="Normal"/>
    <w:link w:val="Heading8Char"/>
    <w:uiPriority w:val="9"/>
    <w:semiHidden/>
    <w:unhideWhenUsed/>
    <w:qFormat/>
    <w:rsid w:val="002D7865"/>
    <w:pPr>
      <w:keepNext/>
      <w:keepLines/>
      <w:spacing w:before="40"/>
      <w:outlineLvl w:val="7"/>
    </w:pPr>
    <w:rPr>
      <w:rFonts w:asciiTheme="majorHAnsi" w:eastAsiaTheme="majorEastAsia" w:hAnsiTheme="majorHAnsi" w:cstheme="majorBidi"/>
      <w:b/>
      <w:bCs/>
      <w:i/>
      <w:iCs/>
      <w:color w:val="918655" w:themeColor="accent6"/>
      <w:sz w:val="20"/>
      <w:szCs w:val="20"/>
    </w:rPr>
  </w:style>
  <w:style w:type="paragraph" w:styleId="Heading9">
    <w:name w:val="heading 9"/>
    <w:basedOn w:val="Normal"/>
    <w:next w:val="Normal"/>
    <w:link w:val="Heading9Char"/>
    <w:uiPriority w:val="9"/>
    <w:semiHidden/>
    <w:unhideWhenUsed/>
    <w:qFormat/>
    <w:rsid w:val="002D7865"/>
    <w:pPr>
      <w:keepNext/>
      <w:keepLines/>
      <w:spacing w:before="40"/>
      <w:outlineLvl w:val="8"/>
    </w:pPr>
    <w:rPr>
      <w:rFonts w:asciiTheme="majorHAnsi" w:eastAsiaTheme="majorEastAsia" w:hAnsiTheme="majorHAnsi" w:cstheme="majorBidi"/>
      <w:i/>
      <w:iCs/>
      <w:color w:val="91865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7865"/>
    <w:pPr>
      <w:contextualSpacing/>
    </w:pPr>
    <w:rPr>
      <w:rFonts w:asciiTheme="majorHAnsi" w:eastAsiaTheme="majorEastAsia" w:hAnsiTheme="majorHAnsi" w:cstheme="majorBidi"/>
      <w:color w:val="262626" w:themeColor="text1" w:themeTint="D9"/>
      <w:spacing w:val="-15"/>
      <w:sz w:val="96"/>
      <w:szCs w:val="96"/>
    </w:rPr>
  </w:style>
  <w:style w:type="paragraph" w:styleId="NormalWeb">
    <w:name w:val="Normal (Web)"/>
    <w:basedOn w:val="Normal"/>
    <w:uiPriority w:val="99"/>
    <w:unhideWhenUsed/>
    <w:rsid w:val="00223F34"/>
    <w:pPr>
      <w:spacing w:before="100" w:beforeAutospacing="1" w:after="100" w:afterAutospacing="1"/>
    </w:pPr>
  </w:style>
  <w:style w:type="character" w:styleId="CommentReference">
    <w:name w:val="annotation reference"/>
    <w:basedOn w:val="DefaultParagraphFont"/>
    <w:uiPriority w:val="99"/>
    <w:semiHidden/>
    <w:unhideWhenUsed/>
    <w:rsid w:val="00F74234"/>
    <w:rPr>
      <w:sz w:val="16"/>
      <w:szCs w:val="16"/>
    </w:rPr>
  </w:style>
  <w:style w:type="paragraph" w:styleId="CommentText">
    <w:name w:val="annotation text"/>
    <w:basedOn w:val="Normal"/>
    <w:link w:val="CommentTextChar"/>
    <w:uiPriority w:val="99"/>
    <w:semiHidden/>
    <w:unhideWhenUsed/>
    <w:rsid w:val="00F74234"/>
    <w:pPr>
      <w:spacing w:after="200"/>
    </w:pPr>
    <w:rPr>
      <w:rFonts w:ascii="Trebuchet MS" w:eastAsia="Trebuchet MS" w:hAnsi="Trebuchet MS" w:cs="Trebuchet MS"/>
      <w:sz w:val="20"/>
      <w:szCs w:val="20"/>
    </w:rPr>
  </w:style>
  <w:style w:type="character" w:customStyle="1" w:styleId="CommentTextChar">
    <w:name w:val="Comment Text Char"/>
    <w:basedOn w:val="DefaultParagraphFont"/>
    <w:link w:val="CommentText"/>
    <w:uiPriority w:val="99"/>
    <w:semiHidden/>
    <w:rsid w:val="00F74234"/>
    <w:rPr>
      <w:sz w:val="20"/>
      <w:szCs w:val="20"/>
    </w:rPr>
  </w:style>
  <w:style w:type="paragraph" w:styleId="CommentSubject">
    <w:name w:val="annotation subject"/>
    <w:basedOn w:val="CommentText"/>
    <w:next w:val="CommentText"/>
    <w:link w:val="CommentSubjectChar"/>
    <w:uiPriority w:val="99"/>
    <w:semiHidden/>
    <w:unhideWhenUsed/>
    <w:rsid w:val="00F74234"/>
    <w:rPr>
      <w:b/>
      <w:bCs/>
    </w:rPr>
  </w:style>
  <w:style w:type="character" w:customStyle="1" w:styleId="CommentSubjectChar">
    <w:name w:val="Comment Subject Char"/>
    <w:basedOn w:val="CommentTextChar"/>
    <w:link w:val="CommentSubject"/>
    <w:uiPriority w:val="99"/>
    <w:semiHidden/>
    <w:rsid w:val="00F74234"/>
    <w:rPr>
      <w:b/>
      <w:bCs/>
      <w:sz w:val="20"/>
      <w:szCs w:val="20"/>
    </w:rPr>
  </w:style>
  <w:style w:type="table" w:styleId="TableGrid">
    <w:name w:val="Table Grid"/>
    <w:basedOn w:val="TableNormal"/>
    <w:uiPriority w:val="39"/>
    <w:rsid w:val="00954A1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D7865"/>
    <w:rPr>
      <w:b/>
      <w:bCs/>
    </w:rPr>
  </w:style>
  <w:style w:type="character" w:styleId="Hyperlink">
    <w:name w:val="Hyperlink"/>
    <w:basedOn w:val="DefaultParagraphFont"/>
    <w:uiPriority w:val="99"/>
    <w:unhideWhenUsed/>
    <w:rsid w:val="004C2EFA"/>
    <w:rPr>
      <w:color w:val="0000FF"/>
      <w:u w:val="single"/>
    </w:rPr>
  </w:style>
  <w:style w:type="character" w:styleId="UnresolvedMention">
    <w:name w:val="Unresolved Mention"/>
    <w:basedOn w:val="DefaultParagraphFont"/>
    <w:uiPriority w:val="99"/>
    <w:semiHidden/>
    <w:unhideWhenUsed/>
    <w:rsid w:val="004006E7"/>
    <w:rPr>
      <w:color w:val="605E5C"/>
      <w:shd w:val="clear" w:color="auto" w:fill="E1DFDD"/>
    </w:rPr>
  </w:style>
  <w:style w:type="paragraph" w:styleId="Subtitle">
    <w:name w:val="Subtitle"/>
    <w:basedOn w:val="Normal"/>
    <w:next w:val="Normal"/>
    <w:link w:val="SubtitleChar"/>
    <w:uiPriority w:val="11"/>
    <w:qFormat/>
    <w:pPr>
      <w:spacing w:after="200"/>
    </w:pPr>
    <w:rPr>
      <w:rFonts w:ascii="Trebuchet MS" w:eastAsia="Trebuchet MS" w:hAnsi="Trebuchet MS" w:cs="Trebuchet MS"/>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2D7865"/>
    <w:rPr>
      <w:rFonts w:asciiTheme="majorHAnsi" w:eastAsiaTheme="majorEastAsia" w:hAnsiTheme="majorHAnsi" w:cstheme="majorBidi"/>
      <w:color w:val="6C643F" w:themeColor="accent6" w:themeShade="BF"/>
      <w:sz w:val="40"/>
      <w:szCs w:val="40"/>
    </w:rPr>
  </w:style>
  <w:style w:type="character" w:customStyle="1" w:styleId="Heading2Char">
    <w:name w:val="Heading 2 Char"/>
    <w:basedOn w:val="DefaultParagraphFont"/>
    <w:link w:val="Heading2"/>
    <w:uiPriority w:val="9"/>
    <w:semiHidden/>
    <w:rsid w:val="002D7865"/>
    <w:rPr>
      <w:rFonts w:asciiTheme="majorHAnsi" w:eastAsiaTheme="majorEastAsia" w:hAnsiTheme="majorHAnsi" w:cstheme="majorBidi"/>
      <w:color w:val="6C643F" w:themeColor="accent6" w:themeShade="BF"/>
      <w:sz w:val="28"/>
      <w:szCs w:val="28"/>
    </w:rPr>
  </w:style>
  <w:style w:type="character" w:customStyle="1" w:styleId="Heading3Char">
    <w:name w:val="Heading 3 Char"/>
    <w:basedOn w:val="DefaultParagraphFont"/>
    <w:link w:val="Heading3"/>
    <w:uiPriority w:val="9"/>
    <w:semiHidden/>
    <w:rsid w:val="002D7865"/>
    <w:rPr>
      <w:rFonts w:asciiTheme="majorHAnsi" w:eastAsiaTheme="majorEastAsia" w:hAnsiTheme="majorHAnsi" w:cstheme="majorBidi"/>
      <w:color w:val="6C643F" w:themeColor="accent6" w:themeShade="BF"/>
      <w:sz w:val="24"/>
      <w:szCs w:val="24"/>
    </w:rPr>
  </w:style>
  <w:style w:type="character" w:customStyle="1" w:styleId="Heading4Char">
    <w:name w:val="Heading 4 Char"/>
    <w:basedOn w:val="DefaultParagraphFont"/>
    <w:link w:val="Heading4"/>
    <w:uiPriority w:val="9"/>
    <w:semiHidden/>
    <w:rsid w:val="002D7865"/>
    <w:rPr>
      <w:rFonts w:asciiTheme="majorHAnsi" w:eastAsiaTheme="majorEastAsia" w:hAnsiTheme="majorHAnsi" w:cstheme="majorBidi"/>
      <w:color w:val="918655" w:themeColor="accent6"/>
      <w:sz w:val="22"/>
      <w:szCs w:val="22"/>
    </w:rPr>
  </w:style>
  <w:style w:type="character" w:customStyle="1" w:styleId="Heading5Char">
    <w:name w:val="Heading 5 Char"/>
    <w:basedOn w:val="DefaultParagraphFont"/>
    <w:link w:val="Heading5"/>
    <w:uiPriority w:val="9"/>
    <w:semiHidden/>
    <w:rsid w:val="002D7865"/>
    <w:rPr>
      <w:rFonts w:asciiTheme="majorHAnsi" w:eastAsiaTheme="majorEastAsia" w:hAnsiTheme="majorHAnsi" w:cstheme="majorBidi"/>
      <w:i/>
      <w:iCs/>
      <w:color w:val="918655" w:themeColor="accent6"/>
      <w:sz w:val="22"/>
      <w:szCs w:val="22"/>
    </w:rPr>
  </w:style>
  <w:style w:type="character" w:customStyle="1" w:styleId="Heading6Char">
    <w:name w:val="Heading 6 Char"/>
    <w:basedOn w:val="DefaultParagraphFont"/>
    <w:link w:val="Heading6"/>
    <w:uiPriority w:val="9"/>
    <w:semiHidden/>
    <w:rsid w:val="002D7865"/>
    <w:rPr>
      <w:rFonts w:asciiTheme="majorHAnsi" w:eastAsiaTheme="majorEastAsia" w:hAnsiTheme="majorHAnsi" w:cstheme="majorBidi"/>
      <w:color w:val="918655" w:themeColor="accent6"/>
    </w:rPr>
  </w:style>
  <w:style w:type="character" w:customStyle="1" w:styleId="Heading7Char">
    <w:name w:val="Heading 7 Char"/>
    <w:basedOn w:val="DefaultParagraphFont"/>
    <w:link w:val="Heading7"/>
    <w:uiPriority w:val="9"/>
    <w:semiHidden/>
    <w:rsid w:val="002D7865"/>
    <w:rPr>
      <w:rFonts w:asciiTheme="majorHAnsi" w:eastAsiaTheme="majorEastAsia" w:hAnsiTheme="majorHAnsi" w:cstheme="majorBidi"/>
      <w:b/>
      <w:bCs/>
      <w:color w:val="918655" w:themeColor="accent6"/>
    </w:rPr>
  </w:style>
  <w:style w:type="character" w:customStyle="1" w:styleId="Heading8Char">
    <w:name w:val="Heading 8 Char"/>
    <w:basedOn w:val="DefaultParagraphFont"/>
    <w:link w:val="Heading8"/>
    <w:uiPriority w:val="9"/>
    <w:semiHidden/>
    <w:rsid w:val="002D7865"/>
    <w:rPr>
      <w:rFonts w:asciiTheme="majorHAnsi" w:eastAsiaTheme="majorEastAsia" w:hAnsiTheme="majorHAnsi" w:cstheme="majorBidi"/>
      <w:b/>
      <w:bCs/>
      <w:i/>
      <w:iCs/>
      <w:color w:val="918655" w:themeColor="accent6"/>
      <w:sz w:val="20"/>
      <w:szCs w:val="20"/>
    </w:rPr>
  </w:style>
  <w:style w:type="character" w:customStyle="1" w:styleId="Heading9Char">
    <w:name w:val="Heading 9 Char"/>
    <w:basedOn w:val="DefaultParagraphFont"/>
    <w:link w:val="Heading9"/>
    <w:uiPriority w:val="9"/>
    <w:semiHidden/>
    <w:rsid w:val="002D7865"/>
    <w:rPr>
      <w:rFonts w:asciiTheme="majorHAnsi" w:eastAsiaTheme="majorEastAsia" w:hAnsiTheme="majorHAnsi" w:cstheme="majorBidi"/>
      <w:i/>
      <w:iCs/>
      <w:color w:val="918655" w:themeColor="accent6"/>
      <w:sz w:val="20"/>
      <w:szCs w:val="20"/>
    </w:rPr>
  </w:style>
  <w:style w:type="paragraph" w:styleId="Caption">
    <w:name w:val="caption"/>
    <w:basedOn w:val="Normal"/>
    <w:next w:val="Normal"/>
    <w:uiPriority w:val="35"/>
    <w:semiHidden/>
    <w:unhideWhenUsed/>
    <w:qFormat/>
    <w:rsid w:val="002D7865"/>
    <w:rPr>
      <w:b/>
      <w:bCs/>
      <w:smallCaps/>
      <w:color w:val="595959" w:themeColor="text1" w:themeTint="A6"/>
    </w:rPr>
  </w:style>
  <w:style w:type="character" w:customStyle="1" w:styleId="TitleChar">
    <w:name w:val="Title Char"/>
    <w:basedOn w:val="DefaultParagraphFont"/>
    <w:link w:val="Title"/>
    <w:uiPriority w:val="10"/>
    <w:rsid w:val="002D7865"/>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2D7865"/>
    <w:rPr>
      <w:rFonts w:asciiTheme="majorHAnsi" w:eastAsiaTheme="majorEastAsia" w:hAnsiTheme="majorHAnsi" w:cstheme="majorBidi"/>
      <w:sz w:val="30"/>
      <w:szCs w:val="30"/>
    </w:rPr>
  </w:style>
  <w:style w:type="character" w:styleId="Emphasis">
    <w:name w:val="Emphasis"/>
    <w:basedOn w:val="DefaultParagraphFont"/>
    <w:uiPriority w:val="20"/>
    <w:qFormat/>
    <w:rsid w:val="002D7865"/>
    <w:rPr>
      <w:i/>
      <w:iCs/>
      <w:color w:val="918655" w:themeColor="accent6"/>
    </w:rPr>
  </w:style>
  <w:style w:type="paragraph" w:styleId="NoSpacing">
    <w:name w:val="No Spacing"/>
    <w:link w:val="NoSpacingChar"/>
    <w:uiPriority w:val="1"/>
    <w:qFormat/>
    <w:rsid w:val="002D7865"/>
    <w:pPr>
      <w:spacing w:after="0" w:line="240" w:lineRule="auto"/>
    </w:pPr>
  </w:style>
  <w:style w:type="paragraph" w:styleId="Quote">
    <w:name w:val="Quote"/>
    <w:basedOn w:val="Normal"/>
    <w:next w:val="Normal"/>
    <w:link w:val="QuoteChar"/>
    <w:uiPriority w:val="29"/>
    <w:qFormat/>
    <w:rsid w:val="002D7865"/>
    <w:pPr>
      <w:spacing w:before="160" w:after="200" w:line="288" w:lineRule="auto"/>
      <w:ind w:left="720" w:right="720"/>
      <w:jc w:val="center"/>
    </w:pPr>
    <w:rPr>
      <w:rFonts w:ascii="Trebuchet MS" w:eastAsia="Trebuchet MS" w:hAnsi="Trebuchet MS" w:cs="Trebuchet MS"/>
      <w:i/>
      <w:iCs/>
      <w:color w:val="262626" w:themeColor="text1" w:themeTint="D9"/>
      <w:sz w:val="21"/>
      <w:szCs w:val="21"/>
    </w:rPr>
  </w:style>
  <w:style w:type="character" w:customStyle="1" w:styleId="QuoteChar">
    <w:name w:val="Quote Char"/>
    <w:basedOn w:val="DefaultParagraphFont"/>
    <w:link w:val="Quote"/>
    <w:uiPriority w:val="29"/>
    <w:rsid w:val="002D7865"/>
    <w:rPr>
      <w:i/>
      <w:iCs/>
      <w:color w:val="262626" w:themeColor="text1" w:themeTint="D9"/>
    </w:rPr>
  </w:style>
  <w:style w:type="paragraph" w:styleId="IntenseQuote">
    <w:name w:val="Intense Quote"/>
    <w:basedOn w:val="Normal"/>
    <w:next w:val="Normal"/>
    <w:link w:val="IntenseQuoteChar"/>
    <w:uiPriority w:val="30"/>
    <w:qFormat/>
    <w:rsid w:val="002D7865"/>
    <w:pPr>
      <w:spacing w:before="160" w:after="160" w:line="264" w:lineRule="auto"/>
      <w:ind w:left="720" w:right="720"/>
      <w:jc w:val="center"/>
    </w:pPr>
    <w:rPr>
      <w:rFonts w:asciiTheme="majorHAnsi" w:eastAsiaTheme="majorEastAsia" w:hAnsiTheme="majorHAnsi" w:cstheme="majorBidi"/>
      <w:i/>
      <w:iCs/>
      <w:color w:val="918655" w:themeColor="accent6"/>
      <w:sz w:val="32"/>
      <w:szCs w:val="32"/>
    </w:rPr>
  </w:style>
  <w:style w:type="character" w:customStyle="1" w:styleId="IntenseQuoteChar">
    <w:name w:val="Intense Quote Char"/>
    <w:basedOn w:val="DefaultParagraphFont"/>
    <w:link w:val="IntenseQuote"/>
    <w:uiPriority w:val="30"/>
    <w:rsid w:val="002D7865"/>
    <w:rPr>
      <w:rFonts w:asciiTheme="majorHAnsi" w:eastAsiaTheme="majorEastAsia" w:hAnsiTheme="majorHAnsi" w:cstheme="majorBidi"/>
      <w:i/>
      <w:iCs/>
      <w:color w:val="918655" w:themeColor="accent6"/>
      <w:sz w:val="32"/>
      <w:szCs w:val="32"/>
    </w:rPr>
  </w:style>
  <w:style w:type="character" w:styleId="SubtleEmphasis">
    <w:name w:val="Subtle Emphasis"/>
    <w:basedOn w:val="DefaultParagraphFont"/>
    <w:uiPriority w:val="19"/>
    <w:qFormat/>
    <w:rsid w:val="002D7865"/>
    <w:rPr>
      <w:i/>
      <w:iCs/>
    </w:rPr>
  </w:style>
  <w:style w:type="character" w:styleId="IntenseEmphasis">
    <w:name w:val="Intense Emphasis"/>
    <w:basedOn w:val="DefaultParagraphFont"/>
    <w:uiPriority w:val="21"/>
    <w:qFormat/>
    <w:rsid w:val="002D7865"/>
    <w:rPr>
      <w:b/>
      <w:bCs/>
      <w:i/>
      <w:iCs/>
    </w:rPr>
  </w:style>
  <w:style w:type="character" w:styleId="SubtleReference">
    <w:name w:val="Subtle Reference"/>
    <w:basedOn w:val="DefaultParagraphFont"/>
    <w:uiPriority w:val="31"/>
    <w:qFormat/>
    <w:rsid w:val="002D7865"/>
    <w:rPr>
      <w:smallCaps/>
      <w:color w:val="595959" w:themeColor="text1" w:themeTint="A6"/>
    </w:rPr>
  </w:style>
  <w:style w:type="character" w:styleId="IntenseReference">
    <w:name w:val="Intense Reference"/>
    <w:basedOn w:val="DefaultParagraphFont"/>
    <w:uiPriority w:val="32"/>
    <w:qFormat/>
    <w:rsid w:val="002D7865"/>
    <w:rPr>
      <w:b/>
      <w:bCs/>
      <w:smallCaps/>
      <w:color w:val="918655" w:themeColor="accent6"/>
    </w:rPr>
  </w:style>
  <w:style w:type="character" w:styleId="BookTitle">
    <w:name w:val="Book Title"/>
    <w:basedOn w:val="DefaultParagraphFont"/>
    <w:uiPriority w:val="33"/>
    <w:qFormat/>
    <w:rsid w:val="002D7865"/>
    <w:rPr>
      <w:b/>
      <w:bCs/>
      <w:caps w:val="0"/>
      <w:smallCaps/>
      <w:spacing w:val="7"/>
      <w:sz w:val="21"/>
      <w:szCs w:val="21"/>
    </w:rPr>
  </w:style>
  <w:style w:type="paragraph" w:styleId="TOCHeading">
    <w:name w:val="TOC Heading"/>
    <w:basedOn w:val="Heading1"/>
    <w:next w:val="Normal"/>
    <w:uiPriority w:val="39"/>
    <w:semiHidden/>
    <w:unhideWhenUsed/>
    <w:qFormat/>
    <w:rsid w:val="002D7865"/>
    <w:pPr>
      <w:outlineLvl w:val="9"/>
    </w:pPr>
  </w:style>
  <w:style w:type="paragraph" w:styleId="Header">
    <w:name w:val="header"/>
    <w:basedOn w:val="Normal"/>
    <w:link w:val="HeaderChar"/>
    <w:uiPriority w:val="99"/>
    <w:unhideWhenUsed/>
    <w:rsid w:val="009C3FEE"/>
    <w:pPr>
      <w:tabs>
        <w:tab w:val="center" w:pos="4680"/>
        <w:tab w:val="right" w:pos="9360"/>
      </w:tabs>
    </w:pPr>
    <w:rPr>
      <w:rFonts w:ascii="Trebuchet MS" w:eastAsia="Trebuchet MS" w:hAnsi="Trebuchet MS" w:cs="Trebuchet MS"/>
      <w:sz w:val="21"/>
      <w:szCs w:val="21"/>
    </w:rPr>
  </w:style>
  <w:style w:type="character" w:customStyle="1" w:styleId="HeaderChar">
    <w:name w:val="Header Char"/>
    <w:basedOn w:val="DefaultParagraphFont"/>
    <w:link w:val="Header"/>
    <w:uiPriority w:val="99"/>
    <w:rsid w:val="009C3FEE"/>
  </w:style>
  <w:style w:type="paragraph" w:styleId="Footer">
    <w:name w:val="footer"/>
    <w:basedOn w:val="Normal"/>
    <w:link w:val="FooterChar"/>
    <w:uiPriority w:val="99"/>
    <w:unhideWhenUsed/>
    <w:rsid w:val="009C3FEE"/>
    <w:pPr>
      <w:tabs>
        <w:tab w:val="center" w:pos="4680"/>
        <w:tab w:val="right" w:pos="9360"/>
      </w:tabs>
    </w:pPr>
    <w:rPr>
      <w:rFonts w:ascii="Trebuchet MS" w:eastAsia="Trebuchet MS" w:hAnsi="Trebuchet MS" w:cs="Trebuchet MS"/>
      <w:sz w:val="21"/>
      <w:szCs w:val="21"/>
    </w:rPr>
  </w:style>
  <w:style w:type="character" w:customStyle="1" w:styleId="FooterChar">
    <w:name w:val="Footer Char"/>
    <w:basedOn w:val="DefaultParagraphFont"/>
    <w:link w:val="Footer"/>
    <w:uiPriority w:val="99"/>
    <w:rsid w:val="009C3FEE"/>
  </w:style>
  <w:style w:type="character" w:customStyle="1" w:styleId="NoSpacingChar">
    <w:name w:val="No Spacing Char"/>
    <w:basedOn w:val="DefaultParagraphFont"/>
    <w:link w:val="NoSpacing"/>
    <w:uiPriority w:val="1"/>
    <w:rsid w:val="0042010E"/>
  </w:style>
  <w:style w:type="table" w:styleId="PlainTable3">
    <w:name w:val="Plain Table 3"/>
    <w:basedOn w:val="TableNormal"/>
    <w:uiPriority w:val="43"/>
    <w:rsid w:val="00E66B6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E66B6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0">
    <w:basedOn w:val="TableNormal"/>
    <w:pPr>
      <w:spacing w:after="0" w:line="240" w:lineRule="auto"/>
    </w:pPr>
    <w:rPr>
      <w:sz w:val="24"/>
      <w:szCs w:val="24"/>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freebirdformviewercomponentsquestionbaserequiredasterisk">
    <w:name w:val="freebirdformviewercomponentsquestionbaserequiredasterisk"/>
    <w:basedOn w:val="DefaultParagraphFont"/>
    <w:rsid w:val="008A4582"/>
  </w:style>
  <w:style w:type="paragraph" w:styleId="Revision">
    <w:name w:val="Revision"/>
    <w:hidden/>
    <w:uiPriority w:val="99"/>
    <w:semiHidden/>
    <w:rsid w:val="0073315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250234">
      <w:bodyDiv w:val="1"/>
      <w:marLeft w:val="0"/>
      <w:marRight w:val="0"/>
      <w:marTop w:val="0"/>
      <w:marBottom w:val="0"/>
      <w:divBdr>
        <w:top w:val="none" w:sz="0" w:space="0" w:color="auto"/>
        <w:left w:val="none" w:sz="0" w:space="0" w:color="auto"/>
        <w:bottom w:val="none" w:sz="0" w:space="0" w:color="auto"/>
        <w:right w:val="none" w:sz="0" w:space="0" w:color="auto"/>
      </w:divBdr>
      <w:divsChild>
        <w:div w:id="356464439">
          <w:marLeft w:val="0"/>
          <w:marRight w:val="0"/>
          <w:marTop w:val="0"/>
          <w:marBottom w:val="0"/>
          <w:divBdr>
            <w:top w:val="none" w:sz="0" w:space="0" w:color="auto"/>
            <w:left w:val="none" w:sz="0" w:space="0" w:color="auto"/>
            <w:bottom w:val="none" w:sz="0" w:space="0" w:color="auto"/>
            <w:right w:val="none" w:sz="0" w:space="0" w:color="auto"/>
          </w:divBdr>
        </w:div>
      </w:divsChild>
    </w:div>
    <w:div w:id="1358048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ranklinblvddistrict.com/abou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eattle.gov/Documents/Departments/SDOT/SRTS/Final_LL_Packet.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sacog.org/sites/main/files/file-attachments/sacog_racial_equity_audit_.pdf?16059085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t.ca.gov/-/media/dot-media/programs/local-assistance/documents/hsip/2020/hsipcycle10announcement.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ntent.tfl.gov.uk/ll-yellow-book.pdf" TargetMode="External"/><Relationship Id="rId10" Type="http://schemas.openxmlformats.org/officeDocument/2006/relationships/image" Target="media/image3.png"/><Relationship Id="rId19" Type="http://schemas.openxmlformats.org/officeDocument/2006/relationships/hyperlink" Target="https://www.oregonmetro.gov/sites/default/files/2017/10/05/Strategic-plan-advance-racial-equity-diversity-inclusion-16087-2016061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alksacramento.org/wp-content/uploads/2020/02/2018-19-SRTS-Program-Highlights.pdf"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do1+rg27xMC1qw6lbCXt+dbNpQ==">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71290B-82EE-084A-BB1E-F9ABA676F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7449</Words>
  <Characters>42460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Phin, To Lan</dc:creator>
  <cp:lastModifiedBy>Microsoft Office User</cp:lastModifiedBy>
  <cp:revision>2</cp:revision>
  <dcterms:created xsi:type="dcterms:W3CDTF">2021-05-21T05:40:00Z</dcterms:created>
  <dcterms:modified xsi:type="dcterms:W3CDTF">2021-05-21T05:40:00Z</dcterms:modified>
</cp:coreProperties>
</file>