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DAFEA" w14:textId="09DEC0D9" w:rsidR="004B402F" w:rsidRPr="00CA4B03" w:rsidRDefault="0069324A" w:rsidP="00CA4B03">
      <w:pPr>
        <w:spacing w:after="0"/>
        <w:rPr>
          <w:b/>
          <w:bCs/>
          <w:sz w:val="24"/>
          <w:szCs w:val="24"/>
        </w:rPr>
      </w:pPr>
      <w:bookmarkStart w:id="0" w:name="_GoBack"/>
      <w:bookmarkEnd w:id="0"/>
      <w:r>
        <w:rPr>
          <w:b/>
          <w:bCs/>
          <w:noProof/>
          <w:sz w:val="24"/>
          <w:szCs w:val="24"/>
        </w:rPr>
        <mc:AlternateContent>
          <mc:Choice Requires="wps">
            <w:drawing>
              <wp:anchor distT="0" distB="0" distL="114300" distR="114300" simplePos="0" relativeHeight="251659264" behindDoc="0" locked="0" layoutInCell="1" allowOverlap="1" wp14:anchorId="7C296266" wp14:editId="30FFCDDC">
                <wp:simplePos x="0" y="0"/>
                <wp:positionH relativeFrom="column">
                  <wp:posOffset>-112395</wp:posOffset>
                </wp:positionH>
                <wp:positionV relativeFrom="paragraph">
                  <wp:posOffset>1905</wp:posOffset>
                </wp:positionV>
                <wp:extent cx="64008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5F565F" w14:textId="10F82C67" w:rsidR="0069324A" w:rsidRPr="0069324A" w:rsidRDefault="00BC6294" w:rsidP="006F48B7">
                            <w:pPr>
                              <w:pBdr>
                                <w:top w:val="single" w:sz="4" w:space="1" w:color="auto"/>
                                <w:left w:val="single" w:sz="4" w:space="4" w:color="auto"/>
                                <w:bottom w:val="single" w:sz="4" w:space="1" w:color="auto"/>
                                <w:right w:val="single" w:sz="4" w:space="4" w:color="auto"/>
                              </w:pBdr>
                              <w:shd w:val="clear" w:color="auto" w:fill="A8D08D" w:themeFill="accent6" w:themeFillTint="99"/>
                              <w:spacing w:after="0"/>
                              <w:jc w:val="center"/>
                              <w:rPr>
                                <w:b/>
                                <w:sz w:val="32"/>
                                <w:szCs w:val="32"/>
                              </w:rPr>
                            </w:pPr>
                            <w:r>
                              <w:rPr>
                                <w:b/>
                                <w:sz w:val="32"/>
                                <w:szCs w:val="32"/>
                              </w:rPr>
                              <w:t>Curricular Community-Engaged Learning</w:t>
                            </w:r>
                            <w:r w:rsidR="0069324A" w:rsidRPr="0069324A">
                              <w:rPr>
                                <w:b/>
                                <w:sz w:val="32"/>
                                <w:szCs w:val="32"/>
                              </w:rPr>
                              <w:t xml:space="preserve"> Designation</w:t>
                            </w:r>
                          </w:p>
                          <w:p w14:paraId="7E9DB912" w14:textId="27C2699E" w:rsidR="0069324A" w:rsidRPr="0069324A" w:rsidRDefault="0069324A" w:rsidP="006F48B7">
                            <w:pPr>
                              <w:pBdr>
                                <w:top w:val="single" w:sz="4" w:space="1" w:color="auto"/>
                                <w:left w:val="single" w:sz="4" w:space="4" w:color="auto"/>
                                <w:bottom w:val="single" w:sz="4" w:space="1" w:color="auto"/>
                                <w:right w:val="single" w:sz="4" w:space="4" w:color="auto"/>
                              </w:pBdr>
                              <w:shd w:val="clear" w:color="auto" w:fill="A8D08D" w:themeFill="accent6" w:themeFillTint="99"/>
                              <w:spacing w:after="0"/>
                              <w:jc w:val="center"/>
                              <w:rPr>
                                <w:b/>
                                <w:sz w:val="32"/>
                                <w:szCs w:val="32"/>
                              </w:rPr>
                            </w:pPr>
                            <w:r w:rsidRPr="0069324A">
                              <w:rPr>
                                <w:b/>
                                <w:sz w:val="32"/>
                                <w:szCs w:val="32"/>
                              </w:rPr>
                              <w:t>Syllabus Review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96266" id="_x0000_t202" coordsize="21600,21600" o:spt="202" path="m,l,21600r21600,l21600,xe">
                <v:stroke joinstyle="miter"/>
                <v:path gradientshapeok="t" o:connecttype="rect"/>
              </v:shapetype>
              <v:shape id="Text Box 1" o:spid="_x0000_s1026" type="#_x0000_t202" style="position:absolute;margin-left:-8.85pt;margin-top:.15pt;width:7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" filled="f" stroked="f">
                <v:textbox>
                  <w:txbxContent>
                    <w:p w14:paraId="455F565F" w14:textId="10F82C67" w:rsidR="0069324A" w:rsidRPr="0069324A" w:rsidRDefault="00BC6294" w:rsidP="006F48B7">
                      <w:pPr>
                        <w:pBdr>
                          <w:top w:val="single" w:sz="4" w:space="1" w:color="auto"/>
                          <w:left w:val="single" w:sz="4" w:space="4" w:color="auto"/>
                          <w:bottom w:val="single" w:sz="4" w:space="1" w:color="auto"/>
                          <w:right w:val="single" w:sz="4" w:space="4" w:color="auto"/>
                        </w:pBdr>
                        <w:shd w:val="clear" w:color="auto" w:fill="A8D08D" w:themeFill="accent6" w:themeFillTint="99"/>
                        <w:spacing w:after="0"/>
                        <w:jc w:val="center"/>
                        <w:rPr>
                          <w:b/>
                          <w:sz w:val="32"/>
                          <w:szCs w:val="32"/>
                        </w:rPr>
                      </w:pPr>
                      <w:r>
                        <w:rPr>
                          <w:b/>
                          <w:sz w:val="32"/>
                          <w:szCs w:val="32"/>
                        </w:rPr>
                        <w:t>Curricular Community-Engaged Learning</w:t>
                      </w:r>
                      <w:r w:rsidR="0069324A" w:rsidRPr="0069324A">
                        <w:rPr>
                          <w:b/>
                          <w:sz w:val="32"/>
                          <w:szCs w:val="32"/>
                        </w:rPr>
                        <w:t xml:space="preserve"> Designation</w:t>
                      </w:r>
                    </w:p>
                    <w:p w14:paraId="7E9DB912" w14:textId="27C2699E" w:rsidR="0069324A" w:rsidRPr="0069324A" w:rsidRDefault="0069324A" w:rsidP="006F48B7">
                      <w:pPr>
                        <w:pBdr>
                          <w:top w:val="single" w:sz="4" w:space="1" w:color="auto"/>
                          <w:left w:val="single" w:sz="4" w:space="4" w:color="auto"/>
                          <w:bottom w:val="single" w:sz="4" w:space="1" w:color="auto"/>
                          <w:right w:val="single" w:sz="4" w:space="4" w:color="auto"/>
                        </w:pBdr>
                        <w:shd w:val="clear" w:color="auto" w:fill="A8D08D" w:themeFill="accent6" w:themeFillTint="99"/>
                        <w:spacing w:after="0"/>
                        <w:jc w:val="center"/>
                        <w:rPr>
                          <w:b/>
                          <w:sz w:val="32"/>
                          <w:szCs w:val="32"/>
                        </w:rPr>
                      </w:pPr>
                      <w:r w:rsidRPr="0069324A">
                        <w:rPr>
                          <w:b/>
                          <w:sz w:val="32"/>
                          <w:szCs w:val="32"/>
                        </w:rPr>
                        <w:t>Syllabus Review Form</w:t>
                      </w:r>
                    </w:p>
                  </w:txbxContent>
                </v:textbox>
                <w10:wrap type="square"/>
              </v:shape>
            </w:pict>
          </mc:Fallback>
        </mc:AlternateContent>
      </w:r>
      <w:r w:rsidR="002B13BB" w:rsidRPr="007E10CB">
        <w:rPr>
          <w:b/>
          <w:bCs/>
        </w:rPr>
        <w:t>C</w:t>
      </w:r>
      <w:r w:rsidR="002B13BB" w:rsidRPr="00CA4B03">
        <w:rPr>
          <w:b/>
          <w:bCs/>
          <w:sz w:val="24"/>
          <w:szCs w:val="24"/>
        </w:rPr>
        <w:t>ourse (Dept &amp; Number):</w:t>
      </w:r>
      <w:r w:rsidR="00BF6BC6" w:rsidRPr="00CA4B03">
        <w:rPr>
          <w:sz w:val="24"/>
          <w:szCs w:val="24"/>
        </w:rPr>
        <w:t xml:space="preserve"> </w:t>
      </w:r>
    </w:p>
    <w:p w14:paraId="164B41E1" w14:textId="08B28DAD" w:rsidR="002B13BB" w:rsidRPr="00CA4B03" w:rsidRDefault="002B13BB" w:rsidP="00BD171F">
      <w:pPr>
        <w:spacing w:after="0"/>
        <w:rPr>
          <w:bCs/>
          <w:sz w:val="24"/>
          <w:szCs w:val="24"/>
        </w:rPr>
      </w:pPr>
      <w:r w:rsidRPr="00CA4B03">
        <w:rPr>
          <w:b/>
          <w:bCs/>
          <w:sz w:val="24"/>
          <w:szCs w:val="24"/>
        </w:rPr>
        <w:t>Contact Person:</w:t>
      </w:r>
      <w:r w:rsidR="008D6CDF" w:rsidRPr="00CA4B03">
        <w:rPr>
          <w:sz w:val="24"/>
          <w:szCs w:val="24"/>
        </w:rPr>
        <w:tab/>
      </w:r>
      <w:r w:rsidR="008D6CDF" w:rsidRPr="00CA4B03">
        <w:rPr>
          <w:sz w:val="24"/>
          <w:szCs w:val="24"/>
        </w:rPr>
        <w:tab/>
      </w:r>
      <w:r w:rsidR="008D6CDF" w:rsidRPr="00CA4B03">
        <w:rPr>
          <w:sz w:val="24"/>
          <w:szCs w:val="24"/>
        </w:rPr>
        <w:tab/>
      </w:r>
      <w:r w:rsidR="0069324A" w:rsidRPr="00CA4B03">
        <w:rPr>
          <w:sz w:val="24"/>
          <w:szCs w:val="24"/>
        </w:rPr>
        <w:tab/>
      </w:r>
      <w:r w:rsidR="00EC753B">
        <w:rPr>
          <w:sz w:val="24"/>
          <w:szCs w:val="24"/>
        </w:rPr>
        <w:tab/>
      </w:r>
      <w:r w:rsidR="008A6AA8" w:rsidRPr="00CA4B03">
        <w:rPr>
          <w:b/>
          <w:sz w:val="24"/>
          <w:szCs w:val="24"/>
        </w:rPr>
        <w:t>E</w:t>
      </w:r>
      <w:r w:rsidR="0069324A" w:rsidRPr="00CA4B03">
        <w:rPr>
          <w:b/>
          <w:sz w:val="24"/>
          <w:szCs w:val="24"/>
        </w:rPr>
        <w:t>mail</w:t>
      </w:r>
      <w:r w:rsidR="008D6CDF" w:rsidRPr="00CA4B03">
        <w:rPr>
          <w:b/>
          <w:sz w:val="24"/>
          <w:szCs w:val="24"/>
        </w:rPr>
        <w:t>:</w:t>
      </w:r>
    </w:p>
    <w:p w14:paraId="16961FB5" w14:textId="44F1C8D7" w:rsidR="002B13BB" w:rsidRDefault="002B13BB" w:rsidP="00BD171F">
      <w:pPr>
        <w:spacing w:after="0"/>
      </w:pPr>
      <w:r w:rsidRPr="00CA4B03">
        <w:rPr>
          <w:b/>
          <w:bCs/>
          <w:sz w:val="24"/>
          <w:szCs w:val="24"/>
        </w:rPr>
        <w:t>Date Submitted:</w:t>
      </w:r>
      <w:r w:rsidR="0069324A" w:rsidRPr="00CA4B03">
        <w:rPr>
          <w:sz w:val="24"/>
          <w:szCs w:val="24"/>
        </w:rPr>
        <w:tab/>
      </w:r>
      <w:r w:rsidR="008D6CDF" w:rsidRPr="00CA4B03">
        <w:rPr>
          <w:sz w:val="24"/>
          <w:szCs w:val="24"/>
        </w:rPr>
        <w:tab/>
      </w:r>
      <w:r w:rsidR="008D6CDF" w:rsidRPr="00CA4B03">
        <w:rPr>
          <w:b/>
          <w:sz w:val="24"/>
          <w:szCs w:val="24"/>
        </w:rPr>
        <w:tab/>
      </w:r>
      <w:r w:rsidR="008D6CDF" w:rsidRPr="00CA4B03">
        <w:rPr>
          <w:b/>
          <w:sz w:val="24"/>
          <w:szCs w:val="24"/>
        </w:rPr>
        <w:tab/>
      </w:r>
      <w:r w:rsidR="00EC753B">
        <w:rPr>
          <w:b/>
          <w:sz w:val="24"/>
          <w:szCs w:val="24"/>
        </w:rPr>
        <w:tab/>
      </w:r>
      <w:r w:rsidR="0069324A" w:rsidRPr="00CA4B03">
        <w:rPr>
          <w:b/>
          <w:sz w:val="24"/>
          <w:szCs w:val="24"/>
        </w:rPr>
        <w:t>Date Reviewed:</w:t>
      </w:r>
      <w:r w:rsidR="0069324A">
        <w:t xml:space="preserve"> </w:t>
      </w:r>
    </w:p>
    <w:p w14:paraId="715C43D7" w14:textId="33103F36" w:rsidR="002B13BB" w:rsidRDefault="002B13BB" w:rsidP="00BD171F">
      <w:pPr>
        <w:spacing w:after="0"/>
      </w:pPr>
    </w:p>
    <w:p w14:paraId="5C47F0A5" w14:textId="61B736F6" w:rsidR="00BC6294" w:rsidRPr="00CA4B03" w:rsidRDefault="00BC6294" w:rsidP="00BC6294">
      <w:pPr>
        <w:rPr>
          <w:rFonts w:cstheme="minorHAnsi"/>
          <w:sz w:val="24"/>
          <w:szCs w:val="24"/>
        </w:rPr>
      </w:pPr>
      <w:r w:rsidRPr="00CA4B03">
        <w:rPr>
          <w:rFonts w:cstheme="minorHAnsi"/>
          <w:sz w:val="24"/>
          <w:szCs w:val="24"/>
        </w:rPr>
        <w:t xml:space="preserve">Please review the following definitions and </w:t>
      </w:r>
      <w:r w:rsidR="00F64777">
        <w:rPr>
          <w:rFonts w:cstheme="minorHAnsi"/>
          <w:sz w:val="24"/>
          <w:szCs w:val="24"/>
        </w:rPr>
        <w:t>Community-Engaged Learning (CEL)</w:t>
      </w:r>
      <w:r w:rsidRPr="00CA4B03">
        <w:rPr>
          <w:rFonts w:cstheme="minorHAnsi"/>
          <w:sz w:val="24"/>
          <w:szCs w:val="24"/>
        </w:rPr>
        <w:t xml:space="preserve"> elements before responding to the questions below. </w:t>
      </w:r>
    </w:p>
    <w:p w14:paraId="4EE7E08D" w14:textId="6CFE3B22" w:rsidR="00BC6294" w:rsidRPr="00CA4B03" w:rsidRDefault="00BC6294" w:rsidP="00BC6294">
      <w:pPr>
        <w:rPr>
          <w:rFonts w:cstheme="minorHAnsi"/>
          <w:sz w:val="24"/>
          <w:szCs w:val="24"/>
        </w:rPr>
      </w:pPr>
      <w:r w:rsidRPr="00CA4B03">
        <w:rPr>
          <w:rFonts w:cstheme="minorHAnsi"/>
          <w:sz w:val="24"/>
          <w:szCs w:val="24"/>
        </w:rPr>
        <w:t xml:space="preserve">Curricular </w:t>
      </w:r>
      <w:r w:rsidR="00F64777">
        <w:rPr>
          <w:rFonts w:cstheme="minorHAnsi"/>
          <w:sz w:val="24"/>
          <w:szCs w:val="24"/>
        </w:rPr>
        <w:t>C</w:t>
      </w:r>
      <w:r w:rsidRPr="00CA4B03">
        <w:rPr>
          <w:rFonts w:cstheme="minorHAnsi"/>
          <w:sz w:val="24"/>
          <w:szCs w:val="24"/>
        </w:rPr>
        <w:t>ommunity-</w:t>
      </w:r>
      <w:r w:rsidR="00F64777">
        <w:rPr>
          <w:rFonts w:cstheme="minorHAnsi"/>
          <w:sz w:val="24"/>
          <w:szCs w:val="24"/>
        </w:rPr>
        <w:t>E</w:t>
      </w:r>
      <w:r w:rsidRPr="00CA4B03">
        <w:rPr>
          <w:rFonts w:cstheme="minorHAnsi"/>
          <w:sz w:val="24"/>
          <w:szCs w:val="24"/>
        </w:rPr>
        <w:t xml:space="preserve">ngaged </w:t>
      </w:r>
      <w:r w:rsidR="00F64777">
        <w:rPr>
          <w:rFonts w:cstheme="minorHAnsi"/>
          <w:sz w:val="24"/>
          <w:szCs w:val="24"/>
        </w:rPr>
        <w:t>L</w:t>
      </w:r>
      <w:r w:rsidRPr="00CA4B03">
        <w:rPr>
          <w:rFonts w:cstheme="minorHAnsi"/>
          <w:sz w:val="24"/>
          <w:szCs w:val="24"/>
        </w:rPr>
        <w:t>earning</w:t>
      </w:r>
      <w:r w:rsidR="00F64777">
        <w:rPr>
          <w:rFonts w:cstheme="minorHAnsi"/>
          <w:sz w:val="24"/>
          <w:szCs w:val="24"/>
        </w:rPr>
        <w:t xml:space="preserve"> (CCEL)</w:t>
      </w:r>
      <w:r w:rsidRPr="00CA4B03">
        <w:rPr>
          <w:rFonts w:cstheme="minorHAnsi"/>
          <w:sz w:val="24"/>
          <w:szCs w:val="24"/>
        </w:rPr>
        <w:t xml:space="preserve"> is a course-based community service experience characterized by reciprocal partnerships that enhance student understanding, the outcomes of which benefit the common good. </w:t>
      </w:r>
    </w:p>
    <w:p w14:paraId="309E6FAB" w14:textId="20B0D310" w:rsidR="00BC6294" w:rsidRPr="00CA4B03" w:rsidRDefault="00BC6294" w:rsidP="00BC6294">
      <w:pPr>
        <w:rPr>
          <w:rFonts w:cstheme="minorHAnsi"/>
          <w:sz w:val="24"/>
          <w:szCs w:val="24"/>
        </w:rPr>
      </w:pPr>
      <w:r w:rsidRPr="00CA4B03">
        <w:rPr>
          <w:rFonts w:cstheme="minorHAnsi"/>
          <w:sz w:val="24"/>
          <w:szCs w:val="24"/>
        </w:rPr>
        <w:t>C</w:t>
      </w:r>
      <w:r w:rsidR="00F64777">
        <w:rPr>
          <w:rFonts w:cstheme="minorHAnsi"/>
          <w:sz w:val="24"/>
          <w:szCs w:val="24"/>
        </w:rPr>
        <w:t>CEL</w:t>
      </w:r>
      <w:r w:rsidRPr="00CA4B03">
        <w:rPr>
          <w:rFonts w:cstheme="minorHAnsi"/>
          <w:sz w:val="24"/>
          <w:szCs w:val="24"/>
        </w:rPr>
        <w:t xml:space="preserve"> </w:t>
      </w:r>
      <w:r w:rsidR="00EC753B">
        <w:rPr>
          <w:rFonts w:cstheme="minorHAnsi"/>
          <w:sz w:val="24"/>
          <w:szCs w:val="24"/>
        </w:rPr>
        <w:t xml:space="preserve">courses </w:t>
      </w:r>
      <w:r w:rsidR="00F64777">
        <w:rPr>
          <w:rFonts w:cstheme="minorHAnsi"/>
          <w:sz w:val="24"/>
          <w:szCs w:val="24"/>
        </w:rPr>
        <w:t>require the</w:t>
      </w:r>
      <w:r w:rsidRPr="00CA4B03">
        <w:rPr>
          <w:rFonts w:cstheme="minorHAnsi"/>
          <w:sz w:val="24"/>
          <w:szCs w:val="24"/>
        </w:rPr>
        <w:t xml:space="preserve"> first three elements of the</w:t>
      </w:r>
      <w:r w:rsidR="00F64777">
        <w:rPr>
          <w:rFonts w:cstheme="minorHAnsi"/>
          <w:sz w:val="24"/>
          <w:szCs w:val="24"/>
        </w:rPr>
        <w:t xml:space="preserve"> </w:t>
      </w:r>
      <w:hyperlink r:id="rId11" w:history="1">
        <w:r w:rsidR="001E403A" w:rsidRPr="00F64777">
          <w:rPr>
            <w:rStyle w:val="Hyperlink"/>
            <w:rFonts w:cstheme="minorHAnsi"/>
            <w:sz w:val="24"/>
            <w:szCs w:val="24"/>
          </w:rPr>
          <w:t>CEL T</w:t>
        </w:r>
        <w:r w:rsidRPr="00F64777">
          <w:rPr>
            <w:rStyle w:val="Hyperlink"/>
            <w:rFonts w:cstheme="minorHAnsi"/>
            <w:sz w:val="24"/>
            <w:szCs w:val="24"/>
          </w:rPr>
          <w:t>axonomy</w:t>
        </w:r>
      </w:hyperlink>
      <w:r w:rsidR="00F64777">
        <w:rPr>
          <w:rFonts w:cstheme="minorHAnsi"/>
          <w:sz w:val="24"/>
          <w:szCs w:val="24"/>
        </w:rPr>
        <w:t>. CCEL courses may, but are not required to, include</w:t>
      </w:r>
      <w:r w:rsidR="00EC753B">
        <w:rPr>
          <w:rFonts w:cstheme="minorHAnsi"/>
          <w:sz w:val="24"/>
          <w:szCs w:val="24"/>
        </w:rPr>
        <w:t xml:space="preserve"> one or two</w:t>
      </w:r>
      <w:r w:rsidR="00F64777">
        <w:rPr>
          <w:rFonts w:cstheme="minorHAnsi"/>
          <w:sz w:val="24"/>
          <w:szCs w:val="24"/>
        </w:rPr>
        <w:t xml:space="preserve"> additional elements of the CEL Taxonomy. The first three elements are</w:t>
      </w:r>
      <w:r w:rsidR="00EC753B">
        <w:rPr>
          <w:rFonts w:cstheme="minorHAnsi"/>
          <w:sz w:val="24"/>
          <w:szCs w:val="24"/>
        </w:rPr>
        <w:t>, as follows:</w:t>
      </w:r>
    </w:p>
    <w:p w14:paraId="492EC2EB" w14:textId="77777777" w:rsidR="00BC6294" w:rsidRPr="00CA4B03" w:rsidRDefault="00BC6294" w:rsidP="00BC6294">
      <w:pPr>
        <w:pStyle w:val="ListParagraph"/>
        <w:numPr>
          <w:ilvl w:val="0"/>
          <w:numId w:val="1"/>
        </w:numPr>
        <w:rPr>
          <w:rFonts w:cstheme="minorHAnsi"/>
          <w:sz w:val="24"/>
          <w:szCs w:val="24"/>
        </w:rPr>
      </w:pPr>
      <w:r w:rsidRPr="00CA4B03">
        <w:rPr>
          <w:rFonts w:cstheme="minorHAnsi"/>
          <w:sz w:val="24"/>
          <w:szCs w:val="24"/>
        </w:rPr>
        <w:t>Reciprocal partnerships: Reciprocal partnerships and processes shape the community activities and course design to enhance student understanding of the importance of community learning.</w:t>
      </w:r>
    </w:p>
    <w:p w14:paraId="21F89C5F" w14:textId="77777777" w:rsidR="00BC6294" w:rsidRPr="00CA4B03" w:rsidRDefault="00BC6294" w:rsidP="00BC6294">
      <w:pPr>
        <w:pStyle w:val="ListParagraph"/>
        <w:numPr>
          <w:ilvl w:val="0"/>
          <w:numId w:val="1"/>
        </w:numPr>
        <w:rPr>
          <w:rFonts w:cstheme="minorHAnsi"/>
          <w:sz w:val="24"/>
          <w:szCs w:val="24"/>
        </w:rPr>
      </w:pPr>
      <w:r w:rsidRPr="00CA4B03">
        <w:rPr>
          <w:rFonts w:cstheme="minorHAnsi"/>
          <w:sz w:val="24"/>
          <w:szCs w:val="24"/>
        </w:rPr>
        <w:t xml:space="preserve">Benefit to the common good: </w:t>
      </w:r>
      <w:r w:rsidRPr="00CA4B03">
        <w:rPr>
          <w:rFonts w:eastAsia="Times New Roman" w:cstheme="minorHAnsi"/>
          <w:sz w:val="24"/>
          <w:szCs w:val="24"/>
        </w:rPr>
        <w:t>Student community involvement has a specific benefit to the material, cultural or institutional interests that members of society have in common. This specific benefit to the common good is intentional, planned for, communicated and assessed with the community partners in mind.</w:t>
      </w:r>
    </w:p>
    <w:p w14:paraId="1107713D" w14:textId="40014BBC" w:rsidR="00BC6294" w:rsidRPr="00F64777" w:rsidRDefault="00BC6294" w:rsidP="00BC6294">
      <w:pPr>
        <w:pStyle w:val="ListParagraph"/>
        <w:numPr>
          <w:ilvl w:val="0"/>
          <w:numId w:val="1"/>
        </w:numPr>
        <w:rPr>
          <w:rFonts w:cstheme="minorHAnsi"/>
          <w:sz w:val="24"/>
          <w:szCs w:val="24"/>
        </w:rPr>
      </w:pPr>
      <w:r w:rsidRPr="00CA4B03">
        <w:rPr>
          <w:rFonts w:cstheme="minorHAnsi"/>
          <w:sz w:val="24"/>
          <w:szCs w:val="24"/>
        </w:rPr>
        <w:t>Academically relevant: Student community involvement is relevant to and integrated with the discipline-based academic content and assignments.</w:t>
      </w:r>
    </w:p>
    <w:p w14:paraId="5BE15748" w14:textId="25150C6D" w:rsidR="00BC6294" w:rsidRPr="001E403A" w:rsidRDefault="00BC6294" w:rsidP="001E403A">
      <w:pPr>
        <w:rPr>
          <w:rFonts w:cstheme="minorHAnsi"/>
          <w:sz w:val="24"/>
          <w:szCs w:val="24"/>
        </w:rPr>
      </w:pPr>
      <w:r w:rsidRPr="00CA4B03">
        <w:rPr>
          <w:rFonts w:cstheme="minorHAnsi"/>
          <w:sz w:val="24"/>
          <w:szCs w:val="24"/>
        </w:rPr>
        <w:t xml:space="preserve">The three elements </w:t>
      </w:r>
      <w:r w:rsidR="00F64777">
        <w:rPr>
          <w:rFonts w:cstheme="minorHAnsi"/>
          <w:sz w:val="24"/>
          <w:szCs w:val="24"/>
        </w:rPr>
        <w:t>above</w:t>
      </w:r>
      <w:r w:rsidRPr="00CA4B03">
        <w:rPr>
          <w:rFonts w:cstheme="minorHAnsi"/>
          <w:sz w:val="24"/>
          <w:szCs w:val="24"/>
        </w:rPr>
        <w:t xml:space="preserve"> </w:t>
      </w:r>
      <w:r w:rsidR="001E403A">
        <w:rPr>
          <w:rFonts w:cstheme="minorHAnsi"/>
          <w:sz w:val="24"/>
          <w:szCs w:val="24"/>
        </w:rPr>
        <w:t>correspond</w:t>
      </w:r>
      <w:r w:rsidRPr="00CA4B03">
        <w:rPr>
          <w:rFonts w:cstheme="minorHAnsi"/>
          <w:sz w:val="24"/>
          <w:szCs w:val="24"/>
        </w:rPr>
        <w:t xml:space="preserve"> to the following course outcomes or learning objectives:</w:t>
      </w:r>
    </w:p>
    <w:p w14:paraId="6EDE5792" w14:textId="38AC496A" w:rsidR="00BC6294" w:rsidRDefault="00BC6294" w:rsidP="00BC6294">
      <w:pPr>
        <w:pStyle w:val="ListParagraph"/>
        <w:numPr>
          <w:ilvl w:val="0"/>
          <w:numId w:val="2"/>
        </w:numPr>
        <w:rPr>
          <w:rFonts w:cstheme="minorHAnsi"/>
          <w:sz w:val="24"/>
          <w:szCs w:val="24"/>
        </w:rPr>
      </w:pPr>
      <w:r w:rsidRPr="00CA4B03">
        <w:rPr>
          <w:rFonts w:cstheme="minorHAnsi"/>
          <w:sz w:val="24"/>
          <w:szCs w:val="24"/>
        </w:rPr>
        <w:t xml:space="preserve">Develop an appreciation of the importance of </w:t>
      </w:r>
      <w:r w:rsidR="001E403A">
        <w:rPr>
          <w:rFonts w:cstheme="minorHAnsi"/>
          <w:sz w:val="24"/>
          <w:szCs w:val="24"/>
        </w:rPr>
        <w:t xml:space="preserve">community partnerships and </w:t>
      </w:r>
      <w:r w:rsidRPr="00CA4B03">
        <w:rPr>
          <w:rFonts w:cstheme="minorHAnsi"/>
          <w:sz w:val="24"/>
          <w:szCs w:val="24"/>
        </w:rPr>
        <w:t>community learning.</w:t>
      </w:r>
    </w:p>
    <w:p w14:paraId="44893AC1" w14:textId="2A2185F2" w:rsidR="001E403A" w:rsidRPr="00CA4B03" w:rsidRDefault="001E403A" w:rsidP="00BC6294">
      <w:pPr>
        <w:pStyle w:val="ListParagraph"/>
        <w:numPr>
          <w:ilvl w:val="0"/>
          <w:numId w:val="2"/>
        </w:numPr>
        <w:rPr>
          <w:rFonts w:cstheme="minorHAnsi"/>
          <w:sz w:val="24"/>
          <w:szCs w:val="24"/>
        </w:rPr>
      </w:pPr>
      <w:r>
        <w:rPr>
          <w:rFonts w:cstheme="minorHAnsi"/>
          <w:sz w:val="24"/>
          <w:szCs w:val="24"/>
        </w:rPr>
        <w:t>Participate in a community-engaged experience that provides a specific benefit to the common good.</w:t>
      </w:r>
    </w:p>
    <w:p w14:paraId="62D263E3" w14:textId="6390C969" w:rsidR="00BC6294" w:rsidRPr="00CA4B03" w:rsidRDefault="00BC6294" w:rsidP="00BC6294">
      <w:pPr>
        <w:pStyle w:val="ListParagraph"/>
        <w:numPr>
          <w:ilvl w:val="0"/>
          <w:numId w:val="2"/>
        </w:numPr>
        <w:rPr>
          <w:rFonts w:cstheme="minorHAnsi"/>
          <w:sz w:val="24"/>
          <w:szCs w:val="24"/>
        </w:rPr>
      </w:pPr>
      <w:r w:rsidRPr="00CA4B03">
        <w:rPr>
          <w:rFonts w:cstheme="minorHAnsi"/>
          <w:sz w:val="24"/>
          <w:szCs w:val="24"/>
        </w:rPr>
        <w:t xml:space="preserve">Engage in community-engaged learning that is </w:t>
      </w:r>
      <w:r w:rsidR="00EC753B">
        <w:rPr>
          <w:rFonts w:cstheme="minorHAnsi"/>
          <w:sz w:val="24"/>
          <w:szCs w:val="24"/>
        </w:rPr>
        <w:t>academically relevant and integrated with other assignments or assessments.</w:t>
      </w:r>
      <w:r w:rsidRPr="00CA4B03">
        <w:rPr>
          <w:rFonts w:cstheme="minorHAnsi"/>
          <w:sz w:val="24"/>
          <w:szCs w:val="24"/>
        </w:rPr>
        <w:t xml:space="preserve">  </w:t>
      </w:r>
    </w:p>
    <w:p w14:paraId="0B209C0F" w14:textId="77777777" w:rsidR="00BC6294" w:rsidRPr="00CA4B03" w:rsidRDefault="00BC6294" w:rsidP="00BD171F">
      <w:pPr>
        <w:spacing w:after="0"/>
        <w:rPr>
          <w:rFonts w:cstheme="minorHAnsi"/>
        </w:rPr>
      </w:pPr>
    </w:p>
    <w:tbl>
      <w:tblPr>
        <w:tblStyle w:val="TableGrid"/>
        <w:tblW w:w="0" w:type="auto"/>
        <w:tblLook w:val="04A0" w:firstRow="1" w:lastRow="0" w:firstColumn="1" w:lastColumn="0" w:noHBand="0" w:noVBand="1"/>
      </w:tblPr>
      <w:tblGrid>
        <w:gridCol w:w="355"/>
        <w:gridCol w:w="4770"/>
        <w:gridCol w:w="1419"/>
        <w:gridCol w:w="1664"/>
        <w:gridCol w:w="1710"/>
      </w:tblGrid>
      <w:tr w:rsidR="002B13BB" w:rsidRPr="00CA4B03" w14:paraId="49036626" w14:textId="77777777" w:rsidTr="0069324A">
        <w:tc>
          <w:tcPr>
            <w:tcW w:w="355" w:type="dxa"/>
            <w:tcBorders>
              <w:right w:val="nil"/>
            </w:tcBorders>
            <w:shd w:val="clear" w:color="auto" w:fill="A8D08D" w:themeFill="accent6" w:themeFillTint="99"/>
          </w:tcPr>
          <w:p w14:paraId="60C6A875" w14:textId="77777777" w:rsidR="002B13BB" w:rsidRPr="00CA4B03" w:rsidRDefault="002B13BB" w:rsidP="002B13BB">
            <w:pPr>
              <w:rPr>
                <w:rFonts w:cstheme="minorHAnsi"/>
                <w:sz w:val="20"/>
                <w:szCs w:val="20"/>
              </w:rPr>
            </w:pPr>
          </w:p>
        </w:tc>
        <w:tc>
          <w:tcPr>
            <w:tcW w:w="4770" w:type="dxa"/>
            <w:tcBorders>
              <w:left w:val="nil"/>
            </w:tcBorders>
            <w:shd w:val="clear" w:color="auto" w:fill="A8D08D" w:themeFill="accent6" w:themeFillTint="99"/>
          </w:tcPr>
          <w:p w14:paraId="21E5506A" w14:textId="77777777" w:rsidR="002B13BB" w:rsidRPr="00CA4B03" w:rsidRDefault="002B13BB" w:rsidP="002B13BB">
            <w:pPr>
              <w:jc w:val="center"/>
              <w:rPr>
                <w:rFonts w:cstheme="minorHAnsi"/>
                <w:b/>
                <w:sz w:val="24"/>
                <w:szCs w:val="24"/>
              </w:rPr>
            </w:pPr>
          </w:p>
          <w:p w14:paraId="79FFD694" w14:textId="6F3441B3" w:rsidR="002B13BB" w:rsidRPr="00CA4B03" w:rsidRDefault="00BC6294" w:rsidP="002B13BB">
            <w:pPr>
              <w:jc w:val="center"/>
              <w:rPr>
                <w:rFonts w:cstheme="minorHAnsi"/>
                <w:b/>
                <w:sz w:val="28"/>
                <w:szCs w:val="28"/>
              </w:rPr>
            </w:pPr>
            <w:r w:rsidRPr="00CA4B03">
              <w:rPr>
                <w:rFonts w:cstheme="minorHAnsi"/>
                <w:b/>
                <w:sz w:val="28"/>
                <w:szCs w:val="28"/>
              </w:rPr>
              <w:t>Curricular Community-Engaged Learning</w:t>
            </w:r>
            <w:r w:rsidR="002B13BB" w:rsidRPr="00CA4B03">
              <w:rPr>
                <w:rFonts w:cstheme="minorHAnsi"/>
                <w:b/>
                <w:sz w:val="28"/>
                <w:szCs w:val="28"/>
              </w:rPr>
              <w:t xml:space="preserve"> Designation </w:t>
            </w:r>
          </w:p>
          <w:p w14:paraId="66D7E91E" w14:textId="77777777" w:rsidR="002B13BB" w:rsidRPr="00CA4B03" w:rsidRDefault="002B13BB" w:rsidP="002B13BB">
            <w:pPr>
              <w:jc w:val="center"/>
              <w:rPr>
                <w:rFonts w:cstheme="minorHAnsi"/>
                <w:b/>
                <w:sz w:val="28"/>
                <w:szCs w:val="28"/>
              </w:rPr>
            </w:pPr>
            <w:r w:rsidRPr="00CA4B03">
              <w:rPr>
                <w:rFonts w:cstheme="minorHAnsi"/>
                <w:b/>
                <w:sz w:val="28"/>
                <w:szCs w:val="28"/>
                <w:u w:val="single"/>
              </w:rPr>
              <w:t>Required</w:t>
            </w:r>
            <w:r w:rsidRPr="00CA4B03">
              <w:rPr>
                <w:rFonts w:cstheme="minorHAnsi"/>
                <w:b/>
                <w:sz w:val="28"/>
                <w:szCs w:val="28"/>
              </w:rPr>
              <w:t xml:space="preserve"> Syllabus Items </w:t>
            </w:r>
          </w:p>
          <w:p w14:paraId="40398CCF" w14:textId="54F4B4A8" w:rsidR="002B13BB" w:rsidRPr="00CA4B03" w:rsidRDefault="002B13BB" w:rsidP="002B13BB">
            <w:pPr>
              <w:rPr>
                <w:rFonts w:cstheme="minorHAnsi"/>
              </w:rPr>
            </w:pPr>
          </w:p>
        </w:tc>
        <w:tc>
          <w:tcPr>
            <w:tcW w:w="1419" w:type="dxa"/>
            <w:tcBorders>
              <w:bottom w:val="single" w:sz="4" w:space="0" w:color="auto"/>
            </w:tcBorders>
            <w:shd w:val="clear" w:color="auto" w:fill="A8D08D" w:themeFill="accent6" w:themeFillTint="99"/>
          </w:tcPr>
          <w:p w14:paraId="6F735472" w14:textId="77777777" w:rsidR="0069324A" w:rsidRPr="00CA4B03" w:rsidRDefault="0069324A" w:rsidP="002B13BB">
            <w:pPr>
              <w:jc w:val="center"/>
              <w:rPr>
                <w:rFonts w:cstheme="minorHAnsi"/>
                <w:b/>
                <w:sz w:val="20"/>
                <w:szCs w:val="20"/>
              </w:rPr>
            </w:pPr>
          </w:p>
          <w:p w14:paraId="7ADBC826" w14:textId="4C092CB1" w:rsidR="002B13BB" w:rsidRPr="00CA4B03" w:rsidRDefault="002B13BB" w:rsidP="002B13BB">
            <w:pPr>
              <w:jc w:val="center"/>
              <w:rPr>
                <w:rFonts w:cstheme="minorHAnsi"/>
              </w:rPr>
            </w:pPr>
            <w:r w:rsidRPr="00CA4B03">
              <w:rPr>
                <w:rFonts w:cstheme="minorHAnsi"/>
                <w:b/>
                <w:sz w:val="20"/>
                <w:szCs w:val="20"/>
              </w:rPr>
              <w:t>Yes, no additional information necessary</w:t>
            </w:r>
          </w:p>
        </w:tc>
        <w:tc>
          <w:tcPr>
            <w:tcW w:w="1664" w:type="dxa"/>
            <w:tcBorders>
              <w:bottom w:val="single" w:sz="4" w:space="0" w:color="auto"/>
            </w:tcBorders>
            <w:shd w:val="clear" w:color="auto" w:fill="A8D08D" w:themeFill="accent6" w:themeFillTint="99"/>
          </w:tcPr>
          <w:p w14:paraId="367B9CB0" w14:textId="77777777" w:rsidR="0069324A" w:rsidRPr="00CA4B03" w:rsidRDefault="0069324A" w:rsidP="002B13BB">
            <w:pPr>
              <w:jc w:val="center"/>
              <w:rPr>
                <w:rFonts w:cstheme="minorHAnsi"/>
                <w:b/>
                <w:sz w:val="20"/>
                <w:szCs w:val="20"/>
              </w:rPr>
            </w:pPr>
          </w:p>
          <w:p w14:paraId="5C9A49AC" w14:textId="170451E1" w:rsidR="002B13BB" w:rsidRPr="00CA4B03" w:rsidRDefault="002B13BB" w:rsidP="002B13BB">
            <w:pPr>
              <w:jc w:val="center"/>
              <w:rPr>
                <w:rFonts w:cstheme="minorHAnsi"/>
              </w:rPr>
            </w:pPr>
            <w:r w:rsidRPr="00CA4B03">
              <w:rPr>
                <w:rFonts w:cstheme="minorHAnsi"/>
                <w:b/>
                <w:sz w:val="20"/>
                <w:szCs w:val="20"/>
              </w:rPr>
              <w:t>Yes, but requires some clarification and resubmission</w:t>
            </w:r>
          </w:p>
        </w:tc>
        <w:tc>
          <w:tcPr>
            <w:tcW w:w="1710" w:type="dxa"/>
            <w:tcBorders>
              <w:bottom w:val="single" w:sz="4" w:space="0" w:color="auto"/>
            </w:tcBorders>
            <w:shd w:val="clear" w:color="auto" w:fill="A8D08D" w:themeFill="accent6" w:themeFillTint="99"/>
          </w:tcPr>
          <w:p w14:paraId="3F36EEC5" w14:textId="77777777" w:rsidR="0069324A" w:rsidRPr="00CA4B03" w:rsidRDefault="0069324A" w:rsidP="002B13BB">
            <w:pPr>
              <w:jc w:val="center"/>
              <w:rPr>
                <w:rFonts w:cstheme="minorHAnsi"/>
                <w:b/>
                <w:sz w:val="20"/>
                <w:szCs w:val="20"/>
              </w:rPr>
            </w:pPr>
          </w:p>
          <w:p w14:paraId="26092CAB" w14:textId="1BC5D478" w:rsidR="002B13BB" w:rsidRPr="00CA4B03" w:rsidRDefault="002B13BB" w:rsidP="002B13BB">
            <w:pPr>
              <w:jc w:val="center"/>
              <w:rPr>
                <w:rFonts w:cstheme="minorHAnsi"/>
              </w:rPr>
            </w:pPr>
            <w:r w:rsidRPr="00CA4B03">
              <w:rPr>
                <w:rFonts w:cstheme="minorHAnsi"/>
                <w:b/>
                <w:sz w:val="20"/>
                <w:szCs w:val="20"/>
              </w:rPr>
              <w:t>No; revision &amp; resubmission of syllabus is needed</w:t>
            </w:r>
          </w:p>
        </w:tc>
      </w:tr>
      <w:tr w:rsidR="002B13BB" w:rsidRPr="00CA4B03" w14:paraId="7BB5184A" w14:textId="77777777" w:rsidTr="0069324A">
        <w:tc>
          <w:tcPr>
            <w:tcW w:w="355" w:type="dxa"/>
          </w:tcPr>
          <w:p w14:paraId="2272AB54" w14:textId="04D32137" w:rsidR="002B13BB" w:rsidRPr="00CA4B03" w:rsidRDefault="002B13BB" w:rsidP="002B13BB">
            <w:pPr>
              <w:rPr>
                <w:rFonts w:cstheme="minorHAnsi"/>
                <w:sz w:val="20"/>
                <w:szCs w:val="20"/>
              </w:rPr>
            </w:pPr>
            <w:r w:rsidRPr="00CA4B03">
              <w:rPr>
                <w:rFonts w:cstheme="minorHAnsi"/>
                <w:sz w:val="20"/>
                <w:szCs w:val="20"/>
              </w:rPr>
              <w:t>1</w:t>
            </w:r>
          </w:p>
        </w:tc>
        <w:tc>
          <w:tcPr>
            <w:tcW w:w="4770" w:type="dxa"/>
          </w:tcPr>
          <w:p w14:paraId="24238218" w14:textId="20381345" w:rsidR="002B13BB" w:rsidRPr="001E403A" w:rsidRDefault="002B13BB" w:rsidP="002B13BB">
            <w:pPr>
              <w:rPr>
                <w:rFonts w:cstheme="minorHAnsi"/>
                <w:sz w:val="20"/>
                <w:szCs w:val="20"/>
              </w:rPr>
            </w:pPr>
            <w:r w:rsidRPr="00CA4B03">
              <w:rPr>
                <w:rFonts w:cstheme="minorHAnsi"/>
                <w:sz w:val="20"/>
                <w:szCs w:val="20"/>
              </w:rPr>
              <w:t>Contains explicit reference to the course having a</w:t>
            </w:r>
            <w:r w:rsidR="00BC6294" w:rsidRPr="00CA4B03">
              <w:rPr>
                <w:rFonts w:cstheme="minorHAnsi"/>
                <w:sz w:val="20"/>
                <w:szCs w:val="20"/>
              </w:rPr>
              <w:t xml:space="preserve"> Curricular Community-Engaged Learning </w:t>
            </w:r>
            <w:r w:rsidRPr="00CA4B03">
              <w:rPr>
                <w:rFonts w:cstheme="minorHAnsi"/>
                <w:sz w:val="20"/>
                <w:szCs w:val="20"/>
              </w:rPr>
              <w:t>component</w:t>
            </w:r>
          </w:p>
        </w:tc>
        <w:tc>
          <w:tcPr>
            <w:tcW w:w="1419" w:type="dxa"/>
          </w:tcPr>
          <w:p w14:paraId="01429EA0" w14:textId="703D5EF2" w:rsidR="002B13BB" w:rsidRPr="00CA4B03" w:rsidRDefault="002B13BB" w:rsidP="00977A69">
            <w:pPr>
              <w:jc w:val="center"/>
              <w:rPr>
                <w:rFonts w:cstheme="minorHAnsi"/>
              </w:rPr>
            </w:pPr>
          </w:p>
        </w:tc>
        <w:tc>
          <w:tcPr>
            <w:tcW w:w="1664" w:type="dxa"/>
          </w:tcPr>
          <w:p w14:paraId="73CC13AC" w14:textId="77777777" w:rsidR="002B13BB" w:rsidRPr="00CA4B03" w:rsidRDefault="002B13BB" w:rsidP="00977A69">
            <w:pPr>
              <w:jc w:val="center"/>
              <w:rPr>
                <w:rFonts w:cstheme="minorHAnsi"/>
              </w:rPr>
            </w:pPr>
          </w:p>
        </w:tc>
        <w:tc>
          <w:tcPr>
            <w:tcW w:w="1710" w:type="dxa"/>
          </w:tcPr>
          <w:p w14:paraId="771BAC7C" w14:textId="77777777" w:rsidR="002B13BB" w:rsidRPr="00CA4B03" w:rsidRDefault="002B13BB" w:rsidP="00977A69">
            <w:pPr>
              <w:jc w:val="center"/>
              <w:rPr>
                <w:rFonts w:cstheme="minorHAnsi"/>
              </w:rPr>
            </w:pPr>
          </w:p>
        </w:tc>
      </w:tr>
      <w:tr w:rsidR="002B13BB" w:rsidRPr="00CA4B03" w14:paraId="58B7B07E" w14:textId="77777777" w:rsidTr="0069324A">
        <w:tc>
          <w:tcPr>
            <w:tcW w:w="355" w:type="dxa"/>
          </w:tcPr>
          <w:p w14:paraId="6D71C9D6" w14:textId="15960A7E" w:rsidR="002B13BB" w:rsidRPr="00CA4B03" w:rsidRDefault="002B13BB" w:rsidP="002B13BB">
            <w:pPr>
              <w:rPr>
                <w:rFonts w:cstheme="minorHAnsi"/>
                <w:sz w:val="20"/>
                <w:szCs w:val="20"/>
              </w:rPr>
            </w:pPr>
            <w:r w:rsidRPr="00CA4B03">
              <w:rPr>
                <w:rFonts w:cstheme="minorHAnsi"/>
                <w:sz w:val="20"/>
                <w:szCs w:val="20"/>
              </w:rPr>
              <w:lastRenderedPageBreak/>
              <w:t>2</w:t>
            </w:r>
          </w:p>
        </w:tc>
        <w:tc>
          <w:tcPr>
            <w:tcW w:w="4770" w:type="dxa"/>
          </w:tcPr>
          <w:p w14:paraId="2696D3D1" w14:textId="2247F79D" w:rsidR="002B13BB" w:rsidRPr="00CA4B03" w:rsidRDefault="002B13BB" w:rsidP="002B13BB">
            <w:pPr>
              <w:rPr>
                <w:rFonts w:cstheme="minorHAnsi"/>
                <w:sz w:val="20"/>
                <w:szCs w:val="20"/>
              </w:rPr>
            </w:pPr>
            <w:r w:rsidRPr="00CA4B03">
              <w:rPr>
                <w:rFonts w:cstheme="minorHAnsi"/>
                <w:sz w:val="20"/>
                <w:szCs w:val="20"/>
              </w:rPr>
              <w:t xml:space="preserve">Provides </w:t>
            </w:r>
            <w:r w:rsidR="00BC6294" w:rsidRPr="00CA4B03">
              <w:rPr>
                <w:rFonts w:cstheme="minorHAnsi"/>
                <w:sz w:val="20"/>
                <w:szCs w:val="20"/>
              </w:rPr>
              <w:t xml:space="preserve">systemwide </w:t>
            </w:r>
            <w:r w:rsidRPr="00CA4B03">
              <w:rPr>
                <w:rFonts w:cstheme="minorHAnsi"/>
                <w:sz w:val="20"/>
                <w:szCs w:val="20"/>
              </w:rPr>
              <w:t>definition o</w:t>
            </w:r>
            <w:r w:rsidR="00EC753B">
              <w:rPr>
                <w:rFonts w:cstheme="minorHAnsi"/>
                <w:sz w:val="20"/>
                <w:szCs w:val="20"/>
              </w:rPr>
              <w:t>f</w:t>
            </w:r>
            <w:r w:rsidR="00BC6294" w:rsidRPr="00CA4B03">
              <w:rPr>
                <w:rFonts w:cstheme="minorHAnsi"/>
                <w:sz w:val="20"/>
                <w:szCs w:val="20"/>
              </w:rPr>
              <w:t xml:space="preserve"> Curricular</w:t>
            </w:r>
            <w:r w:rsidRPr="00CA4B03">
              <w:rPr>
                <w:rFonts w:cstheme="minorHAnsi"/>
                <w:sz w:val="20"/>
                <w:szCs w:val="20"/>
              </w:rPr>
              <w:t xml:space="preserve"> </w:t>
            </w:r>
            <w:r w:rsidR="00BC6294" w:rsidRPr="00CA4B03">
              <w:rPr>
                <w:rFonts w:cstheme="minorHAnsi"/>
                <w:sz w:val="20"/>
                <w:szCs w:val="20"/>
              </w:rPr>
              <w:t>Community-Engaged Learning (above)</w:t>
            </w:r>
          </w:p>
          <w:p w14:paraId="415919CB" w14:textId="77777777" w:rsidR="002B13BB" w:rsidRPr="00CA4B03" w:rsidRDefault="002B13BB" w:rsidP="002B13BB">
            <w:pPr>
              <w:rPr>
                <w:rFonts w:cstheme="minorHAnsi"/>
              </w:rPr>
            </w:pPr>
          </w:p>
        </w:tc>
        <w:tc>
          <w:tcPr>
            <w:tcW w:w="1419" w:type="dxa"/>
          </w:tcPr>
          <w:p w14:paraId="123F4EC0" w14:textId="7D704F37" w:rsidR="002B13BB" w:rsidRPr="00CA4B03" w:rsidRDefault="002B13BB" w:rsidP="00977A69">
            <w:pPr>
              <w:jc w:val="center"/>
              <w:rPr>
                <w:rFonts w:cstheme="minorHAnsi"/>
              </w:rPr>
            </w:pPr>
          </w:p>
        </w:tc>
        <w:tc>
          <w:tcPr>
            <w:tcW w:w="1664" w:type="dxa"/>
          </w:tcPr>
          <w:p w14:paraId="21BCD29A" w14:textId="77777777" w:rsidR="002B13BB" w:rsidRPr="00CA4B03" w:rsidRDefault="002B13BB" w:rsidP="00977A69">
            <w:pPr>
              <w:jc w:val="center"/>
              <w:rPr>
                <w:rFonts w:cstheme="minorHAnsi"/>
              </w:rPr>
            </w:pPr>
          </w:p>
        </w:tc>
        <w:tc>
          <w:tcPr>
            <w:tcW w:w="1710" w:type="dxa"/>
          </w:tcPr>
          <w:p w14:paraId="63E80FEC" w14:textId="77777777" w:rsidR="002B13BB" w:rsidRPr="00CA4B03" w:rsidRDefault="002B13BB" w:rsidP="00977A69">
            <w:pPr>
              <w:jc w:val="center"/>
              <w:rPr>
                <w:rFonts w:cstheme="minorHAnsi"/>
              </w:rPr>
            </w:pPr>
          </w:p>
        </w:tc>
      </w:tr>
      <w:tr w:rsidR="002B13BB" w:rsidRPr="00CA4B03" w14:paraId="4E206CCD" w14:textId="77777777" w:rsidTr="0069324A">
        <w:tc>
          <w:tcPr>
            <w:tcW w:w="355" w:type="dxa"/>
          </w:tcPr>
          <w:p w14:paraId="19FAB0DC" w14:textId="381D40BA" w:rsidR="002B13BB" w:rsidRPr="00CA4B03" w:rsidRDefault="002B13BB" w:rsidP="002B13BB">
            <w:pPr>
              <w:rPr>
                <w:rFonts w:cstheme="minorHAnsi"/>
                <w:sz w:val="20"/>
                <w:szCs w:val="20"/>
              </w:rPr>
            </w:pPr>
            <w:r w:rsidRPr="00CA4B03">
              <w:rPr>
                <w:rFonts w:cstheme="minorHAnsi"/>
                <w:sz w:val="20"/>
                <w:szCs w:val="20"/>
              </w:rPr>
              <w:t>3</w:t>
            </w:r>
          </w:p>
        </w:tc>
        <w:tc>
          <w:tcPr>
            <w:tcW w:w="4770" w:type="dxa"/>
          </w:tcPr>
          <w:p w14:paraId="0348BBB1" w14:textId="6B9A725E" w:rsidR="002B13BB" w:rsidRPr="00CA4B03" w:rsidRDefault="002B13BB" w:rsidP="002B13BB">
            <w:pPr>
              <w:rPr>
                <w:rFonts w:cstheme="minorHAnsi"/>
                <w:b/>
                <w:sz w:val="20"/>
                <w:szCs w:val="20"/>
              </w:rPr>
            </w:pPr>
            <w:r w:rsidRPr="00CA4B03">
              <w:rPr>
                <w:rFonts w:cstheme="minorHAnsi"/>
                <w:sz w:val="20"/>
                <w:szCs w:val="20"/>
              </w:rPr>
              <w:t xml:space="preserve">Indicates use of Campus-wide </w:t>
            </w:r>
            <w:r w:rsidR="00BC6294" w:rsidRPr="00CA4B03">
              <w:rPr>
                <w:rFonts w:cstheme="minorHAnsi"/>
                <w:sz w:val="20"/>
                <w:szCs w:val="20"/>
              </w:rPr>
              <w:t xml:space="preserve">Community-Engaged Learning </w:t>
            </w:r>
            <w:r w:rsidRPr="00CA4B03">
              <w:rPr>
                <w:rFonts w:cstheme="minorHAnsi"/>
                <w:sz w:val="20"/>
                <w:szCs w:val="20"/>
              </w:rPr>
              <w:t>outcomes</w:t>
            </w:r>
            <w:r w:rsidR="00BC6294" w:rsidRPr="00CA4B03">
              <w:rPr>
                <w:rFonts w:cstheme="minorHAnsi"/>
                <w:sz w:val="20"/>
                <w:szCs w:val="20"/>
              </w:rPr>
              <w:t xml:space="preserve"> (above)</w:t>
            </w:r>
          </w:p>
          <w:p w14:paraId="415FAEA8" w14:textId="77777777" w:rsidR="002B13BB" w:rsidRPr="00CA4B03" w:rsidRDefault="002B13BB" w:rsidP="002B13BB">
            <w:pPr>
              <w:rPr>
                <w:rFonts w:cstheme="minorHAnsi"/>
              </w:rPr>
            </w:pPr>
          </w:p>
        </w:tc>
        <w:tc>
          <w:tcPr>
            <w:tcW w:w="1419" w:type="dxa"/>
          </w:tcPr>
          <w:p w14:paraId="0EBC287E" w14:textId="589BE0FF" w:rsidR="002B13BB" w:rsidRPr="00CA4B03" w:rsidRDefault="002B13BB" w:rsidP="00977A69">
            <w:pPr>
              <w:jc w:val="center"/>
              <w:rPr>
                <w:rFonts w:cstheme="minorHAnsi"/>
              </w:rPr>
            </w:pPr>
          </w:p>
        </w:tc>
        <w:tc>
          <w:tcPr>
            <w:tcW w:w="1664" w:type="dxa"/>
          </w:tcPr>
          <w:p w14:paraId="636A2BDC" w14:textId="77777777" w:rsidR="002B13BB" w:rsidRPr="00CA4B03" w:rsidRDefault="002B13BB" w:rsidP="00977A69">
            <w:pPr>
              <w:jc w:val="center"/>
              <w:rPr>
                <w:rFonts w:cstheme="minorHAnsi"/>
              </w:rPr>
            </w:pPr>
          </w:p>
        </w:tc>
        <w:tc>
          <w:tcPr>
            <w:tcW w:w="1710" w:type="dxa"/>
          </w:tcPr>
          <w:p w14:paraId="7B2178B3" w14:textId="77777777" w:rsidR="002B13BB" w:rsidRPr="00CA4B03" w:rsidRDefault="002B13BB" w:rsidP="00977A69">
            <w:pPr>
              <w:jc w:val="center"/>
              <w:rPr>
                <w:rFonts w:cstheme="minorHAnsi"/>
              </w:rPr>
            </w:pPr>
          </w:p>
        </w:tc>
      </w:tr>
      <w:tr w:rsidR="002B13BB" w:rsidRPr="00CA4B03" w14:paraId="7678343F" w14:textId="77777777" w:rsidTr="0069324A">
        <w:tc>
          <w:tcPr>
            <w:tcW w:w="355" w:type="dxa"/>
          </w:tcPr>
          <w:p w14:paraId="4CFAE564" w14:textId="55490390" w:rsidR="002B13BB" w:rsidRPr="00CA4B03" w:rsidRDefault="002B13BB" w:rsidP="002B13BB">
            <w:pPr>
              <w:rPr>
                <w:rFonts w:cstheme="minorHAnsi"/>
                <w:sz w:val="20"/>
                <w:szCs w:val="20"/>
              </w:rPr>
            </w:pPr>
            <w:r w:rsidRPr="00CA4B03">
              <w:rPr>
                <w:rFonts w:cstheme="minorHAnsi"/>
                <w:sz w:val="20"/>
                <w:szCs w:val="20"/>
              </w:rPr>
              <w:t>4</w:t>
            </w:r>
          </w:p>
        </w:tc>
        <w:tc>
          <w:tcPr>
            <w:tcW w:w="4770" w:type="dxa"/>
          </w:tcPr>
          <w:p w14:paraId="4F6C1C93" w14:textId="2FA15328" w:rsidR="002B13BB" w:rsidRPr="00CA4B03" w:rsidRDefault="002B13BB" w:rsidP="002B13BB">
            <w:pPr>
              <w:rPr>
                <w:rFonts w:cstheme="minorHAnsi"/>
                <w:sz w:val="20"/>
                <w:szCs w:val="20"/>
              </w:rPr>
            </w:pPr>
            <w:r w:rsidRPr="00CA4B03">
              <w:rPr>
                <w:rFonts w:cstheme="minorHAnsi"/>
                <w:sz w:val="20"/>
                <w:szCs w:val="20"/>
              </w:rPr>
              <w:t xml:space="preserve">Indicates that students </w:t>
            </w:r>
            <w:r w:rsidR="00163A74" w:rsidRPr="00CA4B03">
              <w:rPr>
                <w:rFonts w:cstheme="minorHAnsi"/>
                <w:sz w:val="20"/>
                <w:szCs w:val="20"/>
              </w:rPr>
              <w:t>may be required to</w:t>
            </w:r>
            <w:r w:rsidRPr="00CA4B03">
              <w:rPr>
                <w:rFonts w:cstheme="minorHAnsi"/>
                <w:sz w:val="20"/>
                <w:szCs w:val="20"/>
              </w:rPr>
              <w:t xml:space="preserve"> complete a final evaluation of </w:t>
            </w:r>
            <w:r w:rsidR="00EC753B">
              <w:rPr>
                <w:rFonts w:cstheme="minorHAnsi"/>
                <w:sz w:val="20"/>
                <w:szCs w:val="20"/>
              </w:rPr>
              <w:t xml:space="preserve">a </w:t>
            </w:r>
            <w:r w:rsidR="00BC6294" w:rsidRPr="00CA4B03">
              <w:rPr>
                <w:rFonts w:cstheme="minorHAnsi"/>
                <w:sz w:val="20"/>
                <w:szCs w:val="20"/>
              </w:rPr>
              <w:t xml:space="preserve">Curricular Community-Engaged Learning </w:t>
            </w:r>
            <w:r w:rsidRPr="00CA4B03">
              <w:rPr>
                <w:rFonts w:cstheme="minorHAnsi"/>
                <w:sz w:val="20"/>
                <w:szCs w:val="20"/>
              </w:rPr>
              <w:t xml:space="preserve">site </w:t>
            </w:r>
          </w:p>
          <w:p w14:paraId="503EFCE7" w14:textId="754ABE1C" w:rsidR="002B13BB" w:rsidRPr="00CA4B03" w:rsidRDefault="002B13BB" w:rsidP="002B13BB">
            <w:pPr>
              <w:rPr>
                <w:rFonts w:cstheme="minorHAnsi"/>
              </w:rPr>
            </w:pPr>
          </w:p>
        </w:tc>
        <w:tc>
          <w:tcPr>
            <w:tcW w:w="1419" w:type="dxa"/>
          </w:tcPr>
          <w:p w14:paraId="1B790003" w14:textId="479BB43D" w:rsidR="002B13BB" w:rsidRPr="00CA4B03" w:rsidRDefault="002B13BB" w:rsidP="00977A69">
            <w:pPr>
              <w:jc w:val="center"/>
              <w:rPr>
                <w:rFonts w:cstheme="minorHAnsi"/>
              </w:rPr>
            </w:pPr>
          </w:p>
        </w:tc>
        <w:tc>
          <w:tcPr>
            <w:tcW w:w="1664" w:type="dxa"/>
          </w:tcPr>
          <w:p w14:paraId="0C02419E" w14:textId="6F1385C1" w:rsidR="00977A69" w:rsidRPr="00CA4B03" w:rsidRDefault="00977A69" w:rsidP="00977A69">
            <w:pPr>
              <w:jc w:val="center"/>
              <w:rPr>
                <w:rFonts w:cstheme="minorHAnsi"/>
              </w:rPr>
            </w:pPr>
          </w:p>
        </w:tc>
        <w:tc>
          <w:tcPr>
            <w:tcW w:w="1710" w:type="dxa"/>
          </w:tcPr>
          <w:p w14:paraId="4D9C0BA9" w14:textId="77777777" w:rsidR="002B13BB" w:rsidRPr="00CA4B03" w:rsidRDefault="002B13BB" w:rsidP="00977A69">
            <w:pPr>
              <w:jc w:val="center"/>
              <w:rPr>
                <w:rFonts w:cstheme="minorHAnsi"/>
              </w:rPr>
            </w:pPr>
          </w:p>
        </w:tc>
      </w:tr>
      <w:tr w:rsidR="002B13BB" w:rsidRPr="00CA4B03" w14:paraId="28459235" w14:textId="77777777" w:rsidTr="0069324A">
        <w:tc>
          <w:tcPr>
            <w:tcW w:w="355" w:type="dxa"/>
          </w:tcPr>
          <w:p w14:paraId="7C795DA1" w14:textId="6D1A8154" w:rsidR="002B13BB" w:rsidRPr="00CA4B03" w:rsidRDefault="002B13BB" w:rsidP="002B13BB">
            <w:pPr>
              <w:rPr>
                <w:rFonts w:cstheme="minorHAnsi"/>
                <w:sz w:val="20"/>
                <w:szCs w:val="20"/>
              </w:rPr>
            </w:pPr>
            <w:r w:rsidRPr="00CA4B03">
              <w:rPr>
                <w:rFonts w:cstheme="minorHAnsi"/>
                <w:sz w:val="20"/>
                <w:szCs w:val="20"/>
              </w:rPr>
              <w:t>5</w:t>
            </w:r>
          </w:p>
        </w:tc>
        <w:tc>
          <w:tcPr>
            <w:tcW w:w="4770" w:type="dxa"/>
          </w:tcPr>
          <w:p w14:paraId="5709D65C" w14:textId="18B0B0C3" w:rsidR="002B13BB" w:rsidRPr="00CA4B03" w:rsidRDefault="002B13BB" w:rsidP="00BC6294">
            <w:pPr>
              <w:rPr>
                <w:rFonts w:cstheme="minorHAnsi"/>
              </w:rPr>
            </w:pPr>
            <w:r w:rsidRPr="00CA4B03">
              <w:rPr>
                <w:rFonts w:cstheme="minorHAnsi"/>
                <w:sz w:val="20"/>
                <w:szCs w:val="20"/>
              </w:rPr>
              <w:t xml:space="preserve">Indicates that a signed </w:t>
            </w:r>
            <w:r w:rsidR="00BC6294" w:rsidRPr="00CA4B03">
              <w:rPr>
                <w:rFonts w:cstheme="minorHAnsi"/>
                <w:sz w:val="20"/>
                <w:szCs w:val="20"/>
              </w:rPr>
              <w:t>Student</w:t>
            </w:r>
            <w:r w:rsidRPr="00CA4B03">
              <w:rPr>
                <w:rFonts w:cstheme="minorHAnsi"/>
                <w:sz w:val="20"/>
                <w:szCs w:val="20"/>
              </w:rPr>
              <w:t xml:space="preserve"> Learning Agreement will be completed by students (e.g., on calendar of due dates, in description of </w:t>
            </w:r>
            <w:r w:rsidR="00EC753B">
              <w:rPr>
                <w:rFonts w:cstheme="minorHAnsi"/>
                <w:sz w:val="20"/>
                <w:szCs w:val="20"/>
              </w:rPr>
              <w:t xml:space="preserve">the </w:t>
            </w:r>
            <w:r w:rsidR="00BC6294" w:rsidRPr="00CA4B03">
              <w:rPr>
                <w:rFonts w:cstheme="minorHAnsi"/>
                <w:sz w:val="20"/>
                <w:szCs w:val="20"/>
              </w:rPr>
              <w:t>CCEL</w:t>
            </w:r>
            <w:r w:rsidRPr="00CA4B03">
              <w:rPr>
                <w:rFonts w:cstheme="minorHAnsi"/>
                <w:sz w:val="20"/>
                <w:szCs w:val="20"/>
              </w:rPr>
              <w:t xml:space="preserve"> component, etc.) </w:t>
            </w:r>
          </w:p>
        </w:tc>
        <w:tc>
          <w:tcPr>
            <w:tcW w:w="1419" w:type="dxa"/>
          </w:tcPr>
          <w:p w14:paraId="2F715E6A" w14:textId="5AFF2543" w:rsidR="002B13BB" w:rsidRPr="00CA4B03" w:rsidRDefault="002B13BB" w:rsidP="00977A69">
            <w:pPr>
              <w:jc w:val="center"/>
              <w:rPr>
                <w:rFonts w:cstheme="minorHAnsi"/>
              </w:rPr>
            </w:pPr>
          </w:p>
        </w:tc>
        <w:tc>
          <w:tcPr>
            <w:tcW w:w="1664" w:type="dxa"/>
          </w:tcPr>
          <w:p w14:paraId="2B3FDDED" w14:textId="77777777" w:rsidR="002B13BB" w:rsidRPr="00CA4B03" w:rsidRDefault="002B13BB" w:rsidP="00977A69">
            <w:pPr>
              <w:jc w:val="center"/>
              <w:rPr>
                <w:rFonts w:cstheme="minorHAnsi"/>
              </w:rPr>
            </w:pPr>
          </w:p>
        </w:tc>
        <w:tc>
          <w:tcPr>
            <w:tcW w:w="1710" w:type="dxa"/>
          </w:tcPr>
          <w:p w14:paraId="4C31A9A2" w14:textId="77777777" w:rsidR="002B13BB" w:rsidRPr="00CA4B03" w:rsidRDefault="002B13BB" w:rsidP="00977A69">
            <w:pPr>
              <w:jc w:val="center"/>
              <w:rPr>
                <w:rFonts w:cstheme="minorHAnsi"/>
              </w:rPr>
            </w:pPr>
          </w:p>
        </w:tc>
      </w:tr>
    </w:tbl>
    <w:p w14:paraId="652CB864" w14:textId="7FAAB9DA" w:rsidR="004714E3" w:rsidRPr="00CA4B03" w:rsidRDefault="004714E3">
      <w:pPr>
        <w:rPr>
          <w:rFonts w:cstheme="minorHAnsi"/>
        </w:rPr>
      </w:pPr>
    </w:p>
    <w:p w14:paraId="12FFB46C" w14:textId="61ACEB5C" w:rsidR="00BC6294" w:rsidRPr="00CA4B03" w:rsidRDefault="001E403A" w:rsidP="00BC6294">
      <w:pPr>
        <w:rPr>
          <w:rFonts w:cstheme="minorHAnsi"/>
          <w:sz w:val="24"/>
          <w:szCs w:val="24"/>
        </w:rPr>
      </w:pPr>
      <w:r>
        <w:rPr>
          <w:rFonts w:cstheme="minorHAnsi"/>
          <w:sz w:val="24"/>
          <w:szCs w:val="24"/>
        </w:rPr>
        <w:t>6</w:t>
      </w:r>
      <w:r w:rsidR="00BC6294" w:rsidRPr="00CA4B03">
        <w:rPr>
          <w:rFonts w:cstheme="minorHAnsi"/>
          <w:sz w:val="24"/>
          <w:szCs w:val="24"/>
        </w:rPr>
        <w:t xml:space="preserve">. Describe how your community partnership is valuable to the community partner and enhances student learning. </w:t>
      </w:r>
    </w:p>
    <w:p w14:paraId="76B9602F" w14:textId="720646EB" w:rsidR="00BC6294" w:rsidRPr="00CA4B03" w:rsidRDefault="00BC6294" w:rsidP="00BC6294">
      <w:pPr>
        <w:rPr>
          <w:rFonts w:cstheme="minorHAnsi"/>
          <w:sz w:val="24"/>
          <w:szCs w:val="24"/>
        </w:rPr>
      </w:pPr>
      <w:r w:rsidRPr="00CA4B03">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ABD9D2" w14:textId="188FA6A0" w:rsidR="00BC6294" w:rsidRPr="00CA4B03" w:rsidRDefault="001E403A" w:rsidP="00BC6294">
      <w:pPr>
        <w:rPr>
          <w:rFonts w:cstheme="minorHAnsi"/>
          <w:sz w:val="24"/>
          <w:szCs w:val="24"/>
        </w:rPr>
      </w:pPr>
      <w:r>
        <w:rPr>
          <w:rFonts w:cstheme="minorHAnsi"/>
          <w:sz w:val="24"/>
          <w:szCs w:val="24"/>
        </w:rPr>
        <w:t>7</w:t>
      </w:r>
      <w:r w:rsidR="00BC6294" w:rsidRPr="00CA4B03">
        <w:rPr>
          <w:rFonts w:cstheme="minorHAnsi"/>
          <w:sz w:val="24"/>
          <w:szCs w:val="24"/>
        </w:rPr>
        <w:t>. Describe how your course-based community project or activity offers a specific benefit to the common material, cultural, or institutional interests of society.</w:t>
      </w:r>
    </w:p>
    <w:p w14:paraId="1BD012C0" w14:textId="5CA04FBF" w:rsidR="00BC6294" w:rsidRPr="00CA4B03" w:rsidRDefault="00BC6294" w:rsidP="00BC6294">
      <w:pPr>
        <w:rPr>
          <w:rFonts w:cstheme="minorHAnsi"/>
          <w:sz w:val="24"/>
          <w:szCs w:val="24"/>
        </w:rPr>
      </w:pPr>
      <w:r w:rsidRPr="00CA4B03">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6C11D7" w14:textId="1AA9E70A" w:rsidR="00BC6294" w:rsidRPr="00CA4B03" w:rsidRDefault="001E403A" w:rsidP="00BC6294">
      <w:pPr>
        <w:rPr>
          <w:rFonts w:cstheme="minorHAnsi"/>
          <w:sz w:val="24"/>
          <w:szCs w:val="24"/>
        </w:rPr>
      </w:pPr>
      <w:r>
        <w:rPr>
          <w:rFonts w:cstheme="minorHAnsi"/>
          <w:sz w:val="24"/>
          <w:szCs w:val="24"/>
        </w:rPr>
        <w:t>8</w:t>
      </w:r>
      <w:r w:rsidR="00BC6294" w:rsidRPr="00CA4B03">
        <w:rPr>
          <w:rFonts w:cstheme="minorHAnsi"/>
          <w:sz w:val="24"/>
          <w:szCs w:val="24"/>
        </w:rPr>
        <w:t xml:space="preserve">. Describe how your course-based community project is academically relevant to and integrated with the discipline-based academic content and assignments. </w:t>
      </w:r>
    </w:p>
    <w:p w14:paraId="53A8E51E" w14:textId="2DF54FCF" w:rsidR="004714E3" w:rsidRPr="00714EBE" w:rsidRDefault="00BC6294" w:rsidP="00EC26AD">
      <w:pPr>
        <w:rPr>
          <w:rFonts w:cstheme="minorHAnsi"/>
          <w:sz w:val="32"/>
          <w:szCs w:val="32"/>
        </w:rPr>
      </w:pPr>
      <w:r w:rsidRPr="00CA4B03">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714E3" w:rsidRPr="00714EBE" w:rsidSect="002B13BB">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A81AE" w14:textId="77777777" w:rsidR="002E6516" w:rsidRDefault="002E6516" w:rsidP="0069324A">
      <w:pPr>
        <w:spacing w:after="0" w:line="240" w:lineRule="auto"/>
      </w:pPr>
      <w:r>
        <w:separator/>
      </w:r>
    </w:p>
  </w:endnote>
  <w:endnote w:type="continuationSeparator" w:id="0">
    <w:p w14:paraId="7E1C2962" w14:textId="77777777" w:rsidR="002E6516" w:rsidRDefault="002E6516" w:rsidP="0069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984BC" w14:textId="77777777" w:rsidR="002E6516" w:rsidRDefault="002E6516" w:rsidP="0069324A">
      <w:pPr>
        <w:spacing w:after="0" w:line="240" w:lineRule="auto"/>
      </w:pPr>
      <w:r>
        <w:separator/>
      </w:r>
    </w:p>
  </w:footnote>
  <w:footnote w:type="continuationSeparator" w:id="0">
    <w:p w14:paraId="2A0106B6" w14:textId="77777777" w:rsidR="002E6516" w:rsidRDefault="002E6516" w:rsidP="00693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F778D"/>
    <w:multiLevelType w:val="hybridMultilevel"/>
    <w:tmpl w:val="40A8C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205EB"/>
    <w:multiLevelType w:val="hybridMultilevel"/>
    <w:tmpl w:val="50BC92E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BB"/>
    <w:rsid w:val="000001F4"/>
    <w:rsid w:val="000C72DA"/>
    <w:rsid w:val="0015240B"/>
    <w:rsid w:val="00163A74"/>
    <w:rsid w:val="001A0D38"/>
    <w:rsid w:val="001E403A"/>
    <w:rsid w:val="00201FAA"/>
    <w:rsid w:val="002766A3"/>
    <w:rsid w:val="002B00C1"/>
    <w:rsid w:val="002B13BB"/>
    <w:rsid w:val="002E6516"/>
    <w:rsid w:val="0034623F"/>
    <w:rsid w:val="00374CDA"/>
    <w:rsid w:val="003B5322"/>
    <w:rsid w:val="00454013"/>
    <w:rsid w:val="004714E3"/>
    <w:rsid w:val="004B402F"/>
    <w:rsid w:val="00542216"/>
    <w:rsid w:val="0058282E"/>
    <w:rsid w:val="0069324A"/>
    <w:rsid w:val="006A1D5A"/>
    <w:rsid w:val="006F48B7"/>
    <w:rsid w:val="00714EBE"/>
    <w:rsid w:val="00726CC4"/>
    <w:rsid w:val="007B7DAD"/>
    <w:rsid w:val="007D00AB"/>
    <w:rsid w:val="007E10CB"/>
    <w:rsid w:val="008A6AA8"/>
    <w:rsid w:val="008D6CDF"/>
    <w:rsid w:val="00977A69"/>
    <w:rsid w:val="00992FA3"/>
    <w:rsid w:val="00AF0CE1"/>
    <w:rsid w:val="00BA6454"/>
    <w:rsid w:val="00BC6294"/>
    <w:rsid w:val="00BD171F"/>
    <w:rsid w:val="00BF6BC6"/>
    <w:rsid w:val="00C2501C"/>
    <w:rsid w:val="00C85EEC"/>
    <w:rsid w:val="00CA4B03"/>
    <w:rsid w:val="00CC3821"/>
    <w:rsid w:val="00DC6C9C"/>
    <w:rsid w:val="00DF13C0"/>
    <w:rsid w:val="00E1543A"/>
    <w:rsid w:val="00EC26AD"/>
    <w:rsid w:val="00EC753B"/>
    <w:rsid w:val="00F313E8"/>
    <w:rsid w:val="00F370D1"/>
    <w:rsid w:val="00F64777"/>
    <w:rsid w:val="00FB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B3E02"/>
  <w15:docId w15:val="{DE2A226B-9368-4EBA-9881-2536F12E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2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324A"/>
  </w:style>
  <w:style w:type="paragraph" w:styleId="Footer">
    <w:name w:val="footer"/>
    <w:basedOn w:val="Normal"/>
    <w:link w:val="FooterChar"/>
    <w:uiPriority w:val="99"/>
    <w:unhideWhenUsed/>
    <w:rsid w:val="006932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324A"/>
  </w:style>
  <w:style w:type="paragraph" w:styleId="ListParagraph">
    <w:name w:val="List Paragraph"/>
    <w:basedOn w:val="Normal"/>
    <w:uiPriority w:val="34"/>
    <w:qFormat/>
    <w:rsid w:val="00BC6294"/>
    <w:pPr>
      <w:ind w:left="720"/>
      <w:contextualSpacing/>
    </w:pPr>
  </w:style>
  <w:style w:type="character" w:styleId="Hyperlink">
    <w:name w:val="Hyperlink"/>
    <w:basedOn w:val="DefaultParagraphFont"/>
    <w:uiPriority w:val="99"/>
    <w:unhideWhenUsed/>
    <w:rsid w:val="001E403A"/>
    <w:rPr>
      <w:color w:val="0563C1" w:themeColor="hyperlink"/>
      <w:u w:val="single"/>
    </w:rPr>
  </w:style>
  <w:style w:type="character" w:styleId="UnresolvedMention">
    <w:name w:val="Unresolved Mention"/>
    <w:basedOn w:val="DefaultParagraphFont"/>
    <w:uiPriority w:val="99"/>
    <w:semiHidden/>
    <w:unhideWhenUsed/>
    <w:rsid w:val="001E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YYGOnxzl6zrRWlBO2I5p-tYt6vD7FGDN/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82B77E6BD39940A83A2AD59E77E8FF" ma:contentTypeVersion="14" ma:contentTypeDescription="Create a new document." ma:contentTypeScope="" ma:versionID="c29f5710a6b0372085c4f0e073bd2217">
  <xsd:schema xmlns:xsd="http://www.w3.org/2001/XMLSchema" xmlns:xs="http://www.w3.org/2001/XMLSchema" xmlns:p="http://schemas.microsoft.com/office/2006/metadata/properties" xmlns:ns3="0c17cb62-ed0d-4be7-8ef7-e75890572b42" xmlns:ns4="4cb48f5d-422a-47b8-82e3-929ce9d6bd73" targetNamespace="http://schemas.microsoft.com/office/2006/metadata/properties" ma:root="true" ma:fieldsID="539694eea10fe96d7ef047741d9eb657" ns3:_="" ns4:_="">
    <xsd:import namespace="0c17cb62-ed0d-4be7-8ef7-e75890572b42"/>
    <xsd:import namespace="4cb48f5d-422a-47b8-82e3-929ce9d6bd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7cb62-ed0d-4be7-8ef7-e75890572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b48f5d-422a-47b8-82e3-929ce9d6bd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692B-3847-42B7-82B7-E493004C36EA}">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purl.org/dc/elements/1.1/"/>
    <ds:schemaRef ds:uri="http://schemas.openxmlformats.org/package/2006/metadata/core-properties"/>
    <ds:schemaRef ds:uri="4cb48f5d-422a-47b8-82e3-929ce9d6bd73"/>
    <ds:schemaRef ds:uri="0c17cb62-ed0d-4be7-8ef7-e75890572b42"/>
  </ds:schemaRefs>
</ds:datastoreItem>
</file>

<file path=customXml/itemProps2.xml><?xml version="1.0" encoding="utf-8"?>
<ds:datastoreItem xmlns:ds="http://schemas.openxmlformats.org/officeDocument/2006/customXml" ds:itemID="{3EB618E5-5489-4EFD-B24D-34EB284026EA}">
  <ds:schemaRefs>
    <ds:schemaRef ds:uri="http://schemas.microsoft.com/sharepoint/v3/contenttype/forms"/>
  </ds:schemaRefs>
</ds:datastoreItem>
</file>

<file path=customXml/itemProps3.xml><?xml version="1.0" encoding="utf-8"?>
<ds:datastoreItem xmlns:ds="http://schemas.openxmlformats.org/officeDocument/2006/customXml" ds:itemID="{041CCE33-3C3A-4E39-89A5-CC30A515B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7cb62-ed0d-4be7-8ef7-e75890572b42"/>
    <ds:schemaRef ds:uri="4cb48f5d-422a-47b8-82e3-929ce9d6b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AED3C-321D-44E5-ACE5-B184FA2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Rachel A</dc:creator>
  <cp:keywords/>
  <dc:description/>
  <cp:lastModifiedBy>Choe-Smith, Chong</cp:lastModifiedBy>
  <cp:revision>2</cp:revision>
  <dcterms:created xsi:type="dcterms:W3CDTF">2022-03-30T23:05:00Z</dcterms:created>
  <dcterms:modified xsi:type="dcterms:W3CDTF">2022-03-30T23:05:00Z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0x0101001282B77E6BD39940A83A2AD59E77E8FF</vt:lpwstr>
  </property>
</Properties>
</file>