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F16A" w14:textId="1F57AAB2" w:rsidR="00A66036" w:rsidRPr="005D33AA" w:rsidRDefault="00CF340D" w:rsidP="00E6103D">
      <w:pPr>
        <w:pBdr>
          <w:bottom w:val="single" w:sz="4" w:space="1" w:color="auto"/>
        </w:pBdr>
        <w:spacing w:after="120"/>
        <w:jc w:val="right"/>
        <w:rPr>
          <w:sz w:val="26"/>
          <w:szCs w:val="26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99DBE89" wp14:editId="4CA6495D">
            <wp:simplePos x="0" y="0"/>
            <wp:positionH relativeFrom="margin">
              <wp:posOffset>-281776</wp:posOffset>
            </wp:positionH>
            <wp:positionV relativeFrom="margin">
              <wp:posOffset>-461645</wp:posOffset>
            </wp:positionV>
            <wp:extent cx="939800" cy="952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mary_Vertical_3_Color_gld_hnd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036">
        <w:rPr>
          <w:b/>
          <w:sz w:val="28"/>
        </w:rPr>
        <w:br/>
      </w:r>
      <w:r w:rsidR="005D33AA">
        <w:rPr>
          <w:b/>
          <w:sz w:val="28"/>
        </w:rPr>
        <w:br/>
      </w:r>
      <w:r w:rsidR="00BC3B3E">
        <w:rPr>
          <w:b/>
          <w:sz w:val="24"/>
          <w:szCs w:val="26"/>
        </w:rPr>
        <w:br/>
      </w:r>
      <w:r w:rsidR="003601AF" w:rsidRPr="003601AF">
        <w:rPr>
          <w:b/>
          <w:i/>
          <w:sz w:val="24"/>
          <w:szCs w:val="26"/>
        </w:rPr>
        <w:t>PCI Annual Assessment Procedure</w:t>
      </w:r>
    </w:p>
    <w:p w14:paraId="6E8A4B06" w14:textId="5D5640A1" w:rsidR="00A66036" w:rsidRPr="00CF340D" w:rsidRDefault="00A66036" w:rsidP="00E6103D">
      <w:pPr>
        <w:spacing w:after="120"/>
        <w:jc w:val="right"/>
      </w:pPr>
    </w:p>
    <w:p w14:paraId="6B71A786" w14:textId="75125B52" w:rsidR="008616A1" w:rsidRPr="00A66036" w:rsidRDefault="008616A1" w:rsidP="00A66036">
      <w:pPr>
        <w:rPr>
          <w:b/>
          <w:sz w:val="24"/>
        </w:rPr>
      </w:pPr>
    </w:p>
    <w:p w14:paraId="3814BF39" w14:textId="553405EA" w:rsidR="008616A1" w:rsidRPr="00A66036" w:rsidRDefault="00BC3B3E" w:rsidP="005E0FFC">
      <w:pPr>
        <w:shd w:val="clear" w:color="auto" w:fill="D9D9D9" w:themeFill="background1" w:themeFillShade="D9"/>
        <w:outlineLvl w:val="0"/>
        <w:rPr>
          <w:b/>
          <w:sz w:val="24"/>
        </w:rPr>
      </w:pPr>
      <w:r>
        <w:rPr>
          <w:b/>
          <w:sz w:val="24"/>
        </w:rPr>
        <w:t xml:space="preserve">1.0 </w:t>
      </w:r>
      <w:r>
        <w:rPr>
          <w:b/>
          <w:sz w:val="24"/>
        </w:rPr>
        <w:tab/>
        <w:t>Introduction</w:t>
      </w:r>
    </w:p>
    <w:p w14:paraId="6427E0E8" w14:textId="09C96F3A" w:rsidR="00BC3B3E" w:rsidRDefault="00055C33" w:rsidP="00544B5C">
      <w:pPr>
        <w:pStyle w:val="NoSpacing"/>
        <w:spacing w:line="276" w:lineRule="auto"/>
        <w:ind w:left="720"/>
        <w:rPr>
          <w:rFonts w:asciiTheme="minorHAnsi" w:hAnsiTheme="minorHAnsi" w:cstheme="minorHAnsi"/>
        </w:rPr>
      </w:pPr>
      <w:r>
        <w:rPr>
          <w:shd w:val="clear" w:color="auto" w:fill="FFFFFF"/>
        </w:rPr>
        <w:t xml:space="preserve">This procedure is intended to identify the annual campus </w:t>
      </w:r>
      <w:r w:rsidR="00010A05">
        <w:rPr>
          <w:shd w:val="clear" w:color="auto" w:fill="FFFFFF"/>
        </w:rPr>
        <w:t>Payment Card Acceptance (</w:t>
      </w:r>
      <w:r>
        <w:rPr>
          <w:shd w:val="clear" w:color="auto" w:fill="FFFFFF"/>
        </w:rPr>
        <w:t>PCI</w:t>
      </w:r>
      <w:r w:rsidR="00010A05">
        <w:rPr>
          <w:shd w:val="clear" w:color="auto" w:fill="FFFFFF"/>
        </w:rPr>
        <w:t>)</w:t>
      </w:r>
      <w:r>
        <w:rPr>
          <w:shd w:val="clear" w:color="auto" w:fill="FFFFFF"/>
        </w:rPr>
        <w:t xml:space="preserve"> compliance procedure, including deadlines and required information to complete the annual PCI Self-Assessment Questionnaire (SAQ). </w:t>
      </w:r>
      <w:r w:rsidRPr="0072449B">
        <w:rPr>
          <w:shd w:val="clear" w:color="auto" w:fill="FFFFFF"/>
        </w:rPr>
        <w:t>The Payment Card Industry Data Security Standard (PCI DSS) is a multifaceted security standard that includes requirements for security management, policies, procedures, network architecture, software design</w:t>
      </w:r>
      <w:r w:rsidR="0074791F">
        <w:rPr>
          <w:shd w:val="clear" w:color="auto" w:fill="FFFFFF"/>
        </w:rPr>
        <w:t>,</w:t>
      </w:r>
      <w:r w:rsidRPr="0072449B">
        <w:rPr>
          <w:shd w:val="clear" w:color="auto" w:fill="FFFFFF"/>
        </w:rPr>
        <w:t xml:space="preserve"> and other</w:t>
      </w:r>
      <w:r w:rsidR="00010A05">
        <w:rPr>
          <w:shd w:val="clear" w:color="auto" w:fill="FFFFFF"/>
        </w:rPr>
        <w:t xml:space="preserve"> critical protective measures. </w:t>
      </w:r>
      <w:r w:rsidRPr="0072449B">
        <w:rPr>
          <w:shd w:val="clear" w:color="auto" w:fill="FFFFFF"/>
        </w:rPr>
        <w:t>PCI DSS applies to all organizations that accept payment cards as a method of accepting financial gifts or in exchange for goods or services.  PCI DSS also applies to all types of payment card activities transacted in-person, over the phone, via fax, mail</w:t>
      </w:r>
      <w:r w:rsidR="0074791F">
        <w:rPr>
          <w:shd w:val="clear" w:color="auto" w:fill="FFFFFF"/>
        </w:rPr>
        <w:t>,</w:t>
      </w:r>
      <w:r w:rsidRPr="0072449B">
        <w:rPr>
          <w:shd w:val="clear" w:color="auto" w:fill="FFFFFF"/>
        </w:rPr>
        <w:t xml:space="preserve"> or </w:t>
      </w:r>
      <w:r w:rsidR="00DD144C">
        <w:rPr>
          <w:shd w:val="clear" w:color="auto" w:fill="FFFFFF"/>
        </w:rPr>
        <w:t xml:space="preserve">the </w:t>
      </w:r>
      <w:r w:rsidRPr="0072449B">
        <w:rPr>
          <w:shd w:val="clear" w:color="auto" w:fill="FFFFFF"/>
        </w:rPr>
        <w:t>Internet.</w:t>
      </w:r>
      <w:r w:rsidR="00010A05">
        <w:rPr>
          <w:shd w:val="clear" w:color="auto" w:fill="FFFFFF"/>
        </w:rPr>
        <w:br/>
      </w:r>
      <w:r w:rsidR="00A66036">
        <w:rPr>
          <w:rFonts w:asciiTheme="minorHAnsi" w:hAnsiTheme="minorHAnsi" w:cstheme="minorHAnsi"/>
        </w:rPr>
        <w:br/>
      </w:r>
    </w:p>
    <w:p w14:paraId="62733C43" w14:textId="53717818" w:rsidR="00055C33" w:rsidRPr="00A66036" w:rsidRDefault="00055C33" w:rsidP="005E0FFC">
      <w:pPr>
        <w:shd w:val="clear" w:color="auto" w:fill="D9D9D9" w:themeFill="background1" w:themeFillShade="D9"/>
        <w:outlineLvl w:val="0"/>
        <w:rPr>
          <w:b/>
          <w:sz w:val="24"/>
        </w:rPr>
      </w:pPr>
      <w:r>
        <w:rPr>
          <w:b/>
          <w:sz w:val="24"/>
        </w:rPr>
        <w:t xml:space="preserve">2.0 </w:t>
      </w:r>
      <w:r>
        <w:rPr>
          <w:b/>
          <w:sz w:val="24"/>
        </w:rPr>
        <w:tab/>
        <w:t>Purpose</w:t>
      </w:r>
    </w:p>
    <w:p w14:paraId="656DDB6A" w14:textId="0E55F4F4" w:rsidR="00055C33" w:rsidRPr="00055C33" w:rsidRDefault="00055C33" w:rsidP="00010A05">
      <w:pPr>
        <w:shd w:val="clear" w:color="auto" w:fill="FFFFFF"/>
        <w:ind w:left="72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</w:rPr>
        <w:t>These procedures outline the steps for each campus PCI division to conduct an in</w:t>
      </w:r>
      <w:r w:rsidR="00DD144C">
        <w:rPr>
          <w:rFonts w:asciiTheme="minorHAnsi" w:eastAsia="Calibri" w:hAnsiTheme="minorHAnsi" w:cstheme="minorHAnsi"/>
        </w:rPr>
        <w:t>-</w:t>
      </w:r>
      <w:r w:rsidRPr="00055C33">
        <w:rPr>
          <w:rFonts w:asciiTheme="minorHAnsi" w:eastAsia="Calibri" w:hAnsiTheme="minorHAnsi" w:cstheme="minorHAnsi"/>
        </w:rPr>
        <w:t>depth inventory of all Credit Card acceptance channels utilized by their respective departments. This inventory is a requirement of PCI, and the information gathered is necessary to complete the annually required PCI self-assessment questionnaire (SAQ).</w:t>
      </w:r>
      <w:r w:rsidR="00010A05">
        <w:rPr>
          <w:rFonts w:asciiTheme="minorHAnsi" w:eastAsia="Calibri" w:hAnsiTheme="minorHAnsi" w:cstheme="minorHAnsi"/>
        </w:rPr>
        <w:br/>
      </w:r>
    </w:p>
    <w:p w14:paraId="69334C7E" w14:textId="3AAABD4E" w:rsidR="00055C33" w:rsidRPr="00A66036" w:rsidRDefault="00055C33" w:rsidP="005E0FFC">
      <w:pPr>
        <w:shd w:val="clear" w:color="auto" w:fill="D9D9D9" w:themeFill="background1" w:themeFillShade="D9"/>
        <w:outlineLvl w:val="0"/>
        <w:rPr>
          <w:b/>
          <w:sz w:val="24"/>
        </w:rPr>
      </w:pPr>
      <w:r>
        <w:rPr>
          <w:b/>
          <w:sz w:val="24"/>
        </w:rPr>
        <w:t xml:space="preserve">3.0 </w:t>
      </w:r>
      <w:r>
        <w:rPr>
          <w:b/>
          <w:sz w:val="24"/>
        </w:rPr>
        <w:tab/>
        <w:t>Scope</w:t>
      </w:r>
    </w:p>
    <w:p w14:paraId="396D9CE0" w14:textId="1310F719" w:rsidR="00055C33" w:rsidRPr="00055C33" w:rsidRDefault="00055C33" w:rsidP="00055C33">
      <w:pPr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color w:val="000000"/>
          <w:szCs w:val="20"/>
        </w:rPr>
      </w:pPr>
      <w:r w:rsidRPr="00055C33">
        <w:rPr>
          <w:rFonts w:asciiTheme="minorHAnsi" w:hAnsiTheme="minorHAnsi" w:cstheme="minorHAnsi"/>
          <w:color w:val="000000"/>
          <w:szCs w:val="20"/>
        </w:rPr>
        <w:t xml:space="preserve">Any department at </w:t>
      </w:r>
      <w:r w:rsidR="00D20BDB">
        <w:rPr>
          <w:rFonts w:asciiTheme="minorHAnsi" w:hAnsiTheme="minorHAnsi" w:cstheme="minorHAnsi"/>
          <w:color w:val="000000"/>
          <w:szCs w:val="20"/>
        </w:rPr>
        <w:t>Sacramento</w:t>
      </w:r>
      <w:r w:rsidRPr="00055C33">
        <w:rPr>
          <w:rFonts w:asciiTheme="minorHAnsi" w:hAnsiTheme="minorHAnsi" w:cstheme="minorHAnsi"/>
          <w:color w:val="000000"/>
          <w:szCs w:val="20"/>
        </w:rPr>
        <w:t xml:space="preserve"> State wanting to accept credit cards for payment of goods or services must meet the requirements of the PCI Data Security Standard.</w:t>
      </w:r>
    </w:p>
    <w:p w14:paraId="48D82E99" w14:textId="7784BF9F" w:rsidR="008616A1" w:rsidRPr="00A66036" w:rsidRDefault="008616A1" w:rsidP="00055C33">
      <w:pPr>
        <w:rPr>
          <w:rFonts w:eastAsia="Calibri"/>
          <w:sz w:val="24"/>
          <w:szCs w:val="24"/>
        </w:rPr>
      </w:pPr>
    </w:p>
    <w:p w14:paraId="288076D4" w14:textId="412248AD" w:rsidR="00A66036" w:rsidRPr="00A66036" w:rsidRDefault="00055C33" w:rsidP="00A66036">
      <w:pPr>
        <w:shd w:val="clear" w:color="auto" w:fill="D9D9D9" w:themeFill="background1" w:themeFillShade="D9"/>
        <w:spacing w:after="120"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4.0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ab/>
        <w:t>Procedure</w:t>
      </w:r>
    </w:p>
    <w:p w14:paraId="08D757B4" w14:textId="3D7DC830" w:rsidR="008616A1" w:rsidRDefault="00055C33" w:rsidP="4B852EC2">
      <w:pPr>
        <w:spacing w:after="120" w:line="240" w:lineRule="auto"/>
        <w:rPr>
          <w:rFonts w:asciiTheme="minorHAnsi" w:eastAsia="Calibri" w:hAnsiTheme="minorHAnsi" w:cstheme="minorBidi"/>
          <w:b/>
          <w:bCs/>
        </w:rPr>
      </w:pPr>
      <w:r>
        <w:rPr>
          <w:rFonts w:asciiTheme="minorHAnsi" w:eastAsia="Calibri" w:hAnsiTheme="minorHAnsi" w:cstheme="minorHAnsi"/>
          <w:b/>
        </w:rPr>
        <w:tab/>
      </w:r>
      <w:r w:rsidRPr="4B852EC2">
        <w:rPr>
          <w:rFonts w:asciiTheme="minorHAnsi" w:eastAsia="Calibri" w:hAnsiTheme="minorHAnsi" w:cstheme="minorBidi"/>
          <w:b/>
          <w:bCs/>
        </w:rPr>
        <w:t>4.1</w:t>
      </w:r>
      <w:r w:rsidR="51EEE2B5" w:rsidRPr="4B852EC2">
        <w:rPr>
          <w:rFonts w:asciiTheme="minorHAnsi" w:eastAsia="Calibri" w:hAnsiTheme="minorHAnsi" w:cstheme="minorBidi"/>
          <w:b/>
          <w:bCs/>
        </w:rPr>
        <w:t xml:space="preserve"> </w:t>
      </w:r>
      <w:r>
        <w:rPr>
          <w:rFonts w:asciiTheme="minorHAnsi" w:eastAsia="Calibri" w:hAnsiTheme="minorHAnsi" w:cstheme="minorHAnsi"/>
          <w:b/>
        </w:rPr>
        <w:tab/>
      </w:r>
      <w:r w:rsidRPr="4B852EC2">
        <w:rPr>
          <w:rFonts w:asciiTheme="minorHAnsi" w:eastAsia="Calibri" w:hAnsiTheme="minorHAnsi" w:cstheme="minorBidi"/>
          <w:b/>
          <w:bCs/>
        </w:rPr>
        <w:t>Conduct Credit Card Process Inventory</w:t>
      </w:r>
    </w:p>
    <w:p w14:paraId="7F3479AA" w14:textId="3B0F872E" w:rsidR="00055C33" w:rsidRPr="00055C33" w:rsidRDefault="00055C33" w:rsidP="00055C33">
      <w:pPr>
        <w:spacing w:after="0"/>
        <w:ind w:left="144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</w:rPr>
        <w:t>Each division will conduct a credit card process inventory annually. The division executive sponsor, or appointed representative, will meet with each of their respective department</w:t>
      </w:r>
      <w:r w:rsidR="00DD144C">
        <w:rPr>
          <w:rFonts w:asciiTheme="minorHAnsi" w:eastAsia="Calibri" w:hAnsiTheme="minorHAnsi" w:cstheme="minorHAnsi"/>
        </w:rPr>
        <w:t xml:space="preserve"> members who</w:t>
      </w:r>
      <w:r w:rsidRPr="00055C33">
        <w:rPr>
          <w:rFonts w:asciiTheme="minorHAnsi" w:eastAsia="Calibri" w:hAnsiTheme="minorHAnsi" w:cstheme="minorHAnsi"/>
        </w:rPr>
        <w:t xml:space="preserve"> handle credit card data to review all currently utilized credit card acceptance channels, and will ensure that all required documentation is in place and being maintained.</w:t>
      </w:r>
    </w:p>
    <w:p w14:paraId="1B2C5AE2" w14:textId="77777777" w:rsidR="00055C33" w:rsidRPr="00055C33" w:rsidRDefault="00055C33" w:rsidP="00055C33">
      <w:pPr>
        <w:spacing w:after="0"/>
        <w:ind w:left="1440"/>
        <w:rPr>
          <w:rFonts w:asciiTheme="minorHAnsi" w:eastAsia="Calibri" w:hAnsiTheme="minorHAnsi" w:cstheme="minorHAnsi"/>
        </w:rPr>
      </w:pPr>
    </w:p>
    <w:p w14:paraId="0FA747C7" w14:textId="77777777" w:rsidR="00343855" w:rsidRPr="00055C33" w:rsidRDefault="00055C33" w:rsidP="00343855">
      <w:pPr>
        <w:spacing w:after="120"/>
        <w:ind w:left="144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</w:rPr>
        <w:lastRenderedPageBreak/>
        <w:t xml:space="preserve">Each department must have the following up to date documentation:  </w:t>
      </w:r>
    </w:p>
    <w:p w14:paraId="1F794F33" w14:textId="255A19AB" w:rsidR="00055C33" w:rsidRPr="00055C33" w:rsidRDefault="00055C33" w:rsidP="00AB1BA2">
      <w:pPr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  <w:b/>
        </w:rPr>
        <w:t>Sacramento</w:t>
      </w:r>
      <w:r w:rsidR="00DD144C">
        <w:rPr>
          <w:rFonts w:asciiTheme="minorHAnsi" w:eastAsia="Calibri" w:hAnsiTheme="minorHAnsi" w:cstheme="minorHAnsi"/>
          <w:b/>
        </w:rPr>
        <w:t xml:space="preserve"> State</w:t>
      </w:r>
      <w:r w:rsidRPr="00055C33">
        <w:rPr>
          <w:rFonts w:asciiTheme="minorHAnsi" w:eastAsia="Calibri" w:hAnsiTheme="minorHAnsi" w:cstheme="minorHAnsi"/>
          <w:b/>
        </w:rPr>
        <w:t xml:space="preserve"> Annual Credit Card Acceptance Acknowledgment</w:t>
      </w:r>
      <w:r w:rsidRPr="00055C33">
        <w:rPr>
          <w:rFonts w:asciiTheme="minorHAnsi" w:eastAsia="Calibri" w:hAnsiTheme="minorHAnsi" w:cstheme="minorHAnsi"/>
        </w:rPr>
        <w:t xml:space="preserve"> (</w:t>
      </w:r>
      <w:r w:rsidR="00AB1BA2" w:rsidRPr="009C7DFD">
        <w:rPr>
          <w:rFonts w:asciiTheme="minorHAnsi" w:eastAsia="Calibri" w:hAnsiTheme="minorHAnsi" w:cstheme="minorHAnsi"/>
          <w:i/>
        </w:rPr>
        <w:t>A02-Annual Credit Card Acceptance Acknowledgement</w:t>
      </w:r>
      <w:r w:rsidRPr="00055C33">
        <w:rPr>
          <w:rFonts w:asciiTheme="minorHAnsi" w:eastAsia="Calibri" w:hAnsiTheme="minorHAnsi" w:cstheme="minorHAnsi"/>
        </w:rPr>
        <w:t>), signed annually by the department responsible administrator (MPP).</w:t>
      </w:r>
    </w:p>
    <w:p w14:paraId="0BE009F5" w14:textId="37D1FCF9" w:rsidR="00055C33" w:rsidRPr="00327EB1" w:rsidRDefault="00055C33" w:rsidP="00327EB1">
      <w:pPr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  <w:b/>
        </w:rPr>
        <w:t xml:space="preserve">Current </w:t>
      </w:r>
      <w:r w:rsidR="00DD144C">
        <w:rPr>
          <w:rFonts w:asciiTheme="minorHAnsi" w:eastAsia="Calibri" w:hAnsiTheme="minorHAnsi" w:cstheme="minorHAnsi"/>
          <w:b/>
        </w:rPr>
        <w:t>Sacramento State</w:t>
      </w:r>
      <w:r w:rsidRPr="00055C33">
        <w:rPr>
          <w:rFonts w:asciiTheme="minorHAnsi" w:eastAsia="Calibri" w:hAnsiTheme="minorHAnsi" w:cstheme="minorHAnsi"/>
          <w:b/>
        </w:rPr>
        <w:t xml:space="preserve"> Credit Card Acceptance Business Process Inventory</w:t>
      </w:r>
      <w:r w:rsidRPr="00055C33">
        <w:rPr>
          <w:rFonts w:asciiTheme="minorHAnsi" w:eastAsia="Calibri" w:hAnsiTheme="minorHAnsi" w:cstheme="minorHAnsi"/>
        </w:rPr>
        <w:t xml:space="preserve"> (</w:t>
      </w:r>
      <w:r w:rsidR="009C7DFD" w:rsidRPr="009C7DFD">
        <w:rPr>
          <w:rFonts w:asciiTheme="minorHAnsi" w:eastAsia="Calibri" w:hAnsiTheme="minorHAnsi" w:cstheme="minorHAnsi"/>
        </w:rPr>
        <w:t>A05-Sacramento State Credit Card Business Process Inventory</w:t>
      </w:r>
      <w:r w:rsidRPr="00055C33">
        <w:rPr>
          <w:rFonts w:asciiTheme="minorHAnsi" w:eastAsia="Calibri" w:hAnsiTheme="minorHAnsi" w:cstheme="minorHAnsi"/>
        </w:rPr>
        <w:t>) for each</w:t>
      </w:r>
      <w:r w:rsidR="00327EB1">
        <w:rPr>
          <w:rFonts w:asciiTheme="minorHAnsi" w:eastAsia="Calibri" w:hAnsiTheme="minorHAnsi" w:cstheme="minorHAnsi"/>
        </w:rPr>
        <w:t xml:space="preserve"> credit card acceptance channel, </w:t>
      </w:r>
      <w:r w:rsidR="00327EB1" w:rsidRPr="00055C33">
        <w:rPr>
          <w:rFonts w:asciiTheme="minorHAnsi" w:eastAsia="Calibri" w:hAnsiTheme="minorHAnsi" w:cstheme="minorHAnsi"/>
        </w:rPr>
        <w:t>signed annually by the department responsible administrator (MPP).</w:t>
      </w:r>
    </w:p>
    <w:p w14:paraId="2CEAB8D9" w14:textId="2C47C1DD" w:rsidR="00055C33" w:rsidRPr="00BF6595" w:rsidRDefault="00055C33" w:rsidP="00BF6595">
      <w:pPr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  <w:b/>
        </w:rPr>
        <w:t>Signed copy of the approved Credit Card Channel Request Form</w:t>
      </w:r>
      <w:r w:rsidRPr="00055C33">
        <w:rPr>
          <w:rFonts w:asciiTheme="minorHAnsi" w:eastAsia="Calibri" w:hAnsiTheme="minorHAnsi" w:cstheme="minorHAnsi"/>
        </w:rPr>
        <w:t xml:space="preserve"> for each channel</w:t>
      </w:r>
      <w:r w:rsidR="0074791F">
        <w:rPr>
          <w:rFonts w:asciiTheme="minorHAnsi" w:eastAsia="Calibri" w:hAnsiTheme="minorHAnsi" w:cstheme="minorHAnsi"/>
        </w:rPr>
        <w:t xml:space="preserve"> (</w:t>
      </w:r>
      <w:r w:rsidR="0074791F" w:rsidRPr="0074791F">
        <w:rPr>
          <w:rFonts w:asciiTheme="minorHAnsi" w:eastAsia="Calibri" w:hAnsiTheme="minorHAnsi" w:cstheme="minorHAnsi"/>
          <w:i/>
        </w:rPr>
        <w:t>03_Credit_Card_Channel_Request</w:t>
      </w:r>
      <w:r w:rsidR="0074791F">
        <w:rPr>
          <w:rFonts w:asciiTheme="minorHAnsi" w:eastAsia="Calibri" w:hAnsiTheme="minorHAnsi" w:cstheme="minorHAnsi"/>
        </w:rPr>
        <w:t>)</w:t>
      </w:r>
      <w:r w:rsidRPr="00055C33">
        <w:rPr>
          <w:rFonts w:asciiTheme="minorHAnsi" w:eastAsia="Calibri" w:hAnsiTheme="minorHAnsi" w:cstheme="minorHAnsi"/>
        </w:rPr>
        <w:t>.</w:t>
      </w:r>
      <w:r w:rsidR="00BF6595">
        <w:rPr>
          <w:rFonts w:asciiTheme="minorHAnsi" w:eastAsia="Calibri" w:hAnsiTheme="minorHAnsi" w:cstheme="minorHAnsi"/>
        </w:rPr>
        <w:t xml:space="preserve"> </w:t>
      </w:r>
      <w:r w:rsidR="00BF6595" w:rsidRPr="00055C33">
        <w:rPr>
          <w:rFonts w:asciiTheme="minorHAnsi" w:eastAsia="Calibri" w:hAnsiTheme="minorHAnsi" w:cstheme="minorHAnsi"/>
        </w:rPr>
        <w:t>Signed annually by the department responsible administrator (MPP).</w:t>
      </w:r>
    </w:p>
    <w:p w14:paraId="43C22331" w14:textId="0B357E8D" w:rsidR="00055C33" w:rsidRPr="00055C33" w:rsidRDefault="00055C33" w:rsidP="00055C33">
      <w:pPr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  <w:b/>
        </w:rPr>
        <w:t>Credit card payment flow diagram</w:t>
      </w:r>
      <w:r w:rsidRPr="00055C33">
        <w:rPr>
          <w:rFonts w:asciiTheme="minorHAnsi" w:eastAsia="Calibri" w:hAnsiTheme="minorHAnsi" w:cstheme="minorHAnsi"/>
        </w:rPr>
        <w:t xml:space="preserve"> or narrative for each department.</w:t>
      </w:r>
    </w:p>
    <w:p w14:paraId="09CCD7C9" w14:textId="03B6F3D6" w:rsidR="00055C33" w:rsidRPr="00055C33" w:rsidRDefault="00055C33" w:rsidP="009C7DFD">
      <w:pPr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  <w:b/>
        </w:rPr>
        <w:t>List of all employees that process credit cards</w:t>
      </w:r>
      <w:r w:rsidRPr="00055C33">
        <w:rPr>
          <w:rFonts w:asciiTheme="minorHAnsi" w:eastAsia="Calibri" w:hAnsiTheme="minorHAnsi" w:cstheme="minorHAnsi"/>
        </w:rPr>
        <w:t xml:space="preserve"> </w:t>
      </w:r>
      <w:r w:rsidR="009C7DFD">
        <w:rPr>
          <w:rFonts w:asciiTheme="minorHAnsi" w:eastAsia="Calibri" w:hAnsiTheme="minorHAnsi" w:cstheme="minorHAnsi"/>
        </w:rPr>
        <w:t>(A03-</w:t>
      </w:r>
      <w:r w:rsidR="009C7DFD" w:rsidRPr="009C7DFD">
        <w:rPr>
          <w:rFonts w:asciiTheme="minorHAnsi" w:eastAsia="Calibri" w:hAnsiTheme="minorHAnsi" w:cstheme="minorHAnsi"/>
        </w:rPr>
        <w:t xml:space="preserve"> User Access Inventory </w:t>
      </w:r>
      <w:r w:rsidR="009C7DFD">
        <w:rPr>
          <w:rFonts w:asciiTheme="minorHAnsi" w:eastAsia="Calibri" w:hAnsiTheme="minorHAnsi" w:cstheme="minorHAnsi"/>
        </w:rPr>
        <w:t>–</w:t>
      </w:r>
      <w:r w:rsidR="009C7DFD" w:rsidRPr="009C7DFD">
        <w:rPr>
          <w:rFonts w:asciiTheme="minorHAnsi" w:eastAsia="Calibri" w:hAnsiTheme="minorHAnsi" w:cstheme="minorHAnsi"/>
        </w:rPr>
        <w:t xml:space="preserve"> Template</w:t>
      </w:r>
      <w:r w:rsidR="009C7DFD">
        <w:rPr>
          <w:rFonts w:asciiTheme="minorHAnsi" w:eastAsia="Calibri" w:hAnsiTheme="minorHAnsi" w:cstheme="minorHAnsi"/>
        </w:rPr>
        <w:t xml:space="preserve">) </w:t>
      </w:r>
      <w:r w:rsidR="002F73E6">
        <w:rPr>
          <w:rFonts w:asciiTheme="minorHAnsi" w:eastAsia="Calibri" w:hAnsiTheme="minorHAnsi" w:cstheme="minorHAnsi"/>
        </w:rPr>
        <w:t>for all department channels. User access information such as:</w:t>
      </w:r>
    </w:p>
    <w:p w14:paraId="127EEA5A" w14:textId="16F310A5" w:rsidR="00055C33" w:rsidRDefault="002F73E6" w:rsidP="00055C33">
      <w:pPr>
        <w:numPr>
          <w:ilvl w:val="3"/>
          <w:numId w:val="13"/>
        </w:numPr>
        <w:spacing w:after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Name</w:t>
      </w:r>
    </w:p>
    <w:p w14:paraId="4765F897" w14:textId="3CD1C537" w:rsidR="002F73E6" w:rsidRDefault="002F73E6" w:rsidP="00055C33">
      <w:pPr>
        <w:numPr>
          <w:ilvl w:val="3"/>
          <w:numId w:val="13"/>
        </w:numPr>
        <w:spacing w:after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Position/Title</w:t>
      </w:r>
    </w:p>
    <w:p w14:paraId="56879556" w14:textId="02E8537A" w:rsidR="002F73E6" w:rsidRDefault="002F73E6" w:rsidP="00055C33">
      <w:pPr>
        <w:numPr>
          <w:ilvl w:val="3"/>
          <w:numId w:val="13"/>
        </w:numPr>
        <w:spacing w:after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CSUS ID #</w:t>
      </w:r>
    </w:p>
    <w:p w14:paraId="432D4111" w14:textId="77777777" w:rsidR="002F73E6" w:rsidRPr="00055C33" w:rsidRDefault="002F73E6" w:rsidP="002F73E6">
      <w:pPr>
        <w:spacing w:after="0"/>
        <w:ind w:left="2880"/>
        <w:rPr>
          <w:rFonts w:asciiTheme="minorHAnsi" w:eastAsia="Calibri" w:hAnsiTheme="minorHAnsi" w:cstheme="minorHAnsi"/>
        </w:rPr>
      </w:pPr>
    </w:p>
    <w:p w14:paraId="2607692F" w14:textId="7D1BCCF5" w:rsidR="00055C33" w:rsidRPr="00055C33" w:rsidRDefault="00055C33" w:rsidP="009C7DFD">
      <w:pPr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  <w:b/>
        </w:rPr>
        <w:t>List of all hardware and software used to process, store or transmit cardholder data</w:t>
      </w:r>
      <w:r w:rsidR="002F73E6">
        <w:rPr>
          <w:rFonts w:asciiTheme="minorHAnsi" w:eastAsia="Calibri" w:hAnsiTheme="minorHAnsi" w:cstheme="minorHAnsi"/>
        </w:rPr>
        <w:t>, which includes some</w:t>
      </w:r>
      <w:r w:rsidRPr="00055C33">
        <w:rPr>
          <w:rFonts w:asciiTheme="minorHAnsi" w:eastAsia="Calibri" w:hAnsiTheme="minorHAnsi" w:cstheme="minorHAnsi"/>
        </w:rPr>
        <w:t xml:space="preserve"> the following, as applicable</w:t>
      </w:r>
      <w:r w:rsidR="009C7DFD">
        <w:rPr>
          <w:rFonts w:asciiTheme="minorHAnsi" w:eastAsia="Calibri" w:hAnsiTheme="minorHAnsi" w:cstheme="minorHAnsi"/>
        </w:rPr>
        <w:t xml:space="preserve"> (</w:t>
      </w:r>
      <w:r w:rsidR="009C7DFD" w:rsidRPr="009C7DFD">
        <w:rPr>
          <w:rFonts w:asciiTheme="minorHAnsi" w:eastAsia="Calibri" w:hAnsiTheme="minorHAnsi" w:cstheme="minorHAnsi"/>
        </w:rPr>
        <w:t xml:space="preserve">A04 - Device Inventory </w:t>
      </w:r>
      <w:r w:rsidR="009C7DFD">
        <w:rPr>
          <w:rFonts w:asciiTheme="minorHAnsi" w:eastAsia="Calibri" w:hAnsiTheme="minorHAnsi" w:cstheme="minorHAnsi"/>
        </w:rPr>
        <w:t>–</w:t>
      </w:r>
      <w:r w:rsidR="009C7DFD" w:rsidRPr="009C7DFD">
        <w:rPr>
          <w:rFonts w:asciiTheme="minorHAnsi" w:eastAsia="Calibri" w:hAnsiTheme="minorHAnsi" w:cstheme="minorHAnsi"/>
        </w:rPr>
        <w:t xml:space="preserve"> Template</w:t>
      </w:r>
      <w:r w:rsidR="009C7DFD">
        <w:rPr>
          <w:rFonts w:asciiTheme="minorHAnsi" w:eastAsia="Calibri" w:hAnsiTheme="minorHAnsi" w:cstheme="minorHAnsi"/>
        </w:rPr>
        <w:t>)</w:t>
      </w:r>
      <w:r w:rsidR="002F73E6">
        <w:rPr>
          <w:rFonts w:asciiTheme="minorHAnsi" w:eastAsia="Calibri" w:hAnsiTheme="minorHAnsi" w:cstheme="minorHAnsi"/>
        </w:rPr>
        <w:t xml:space="preserve"> such as</w:t>
      </w:r>
      <w:r w:rsidRPr="00055C33">
        <w:rPr>
          <w:rFonts w:asciiTheme="minorHAnsi" w:eastAsia="Calibri" w:hAnsiTheme="minorHAnsi" w:cstheme="minorHAnsi"/>
        </w:rPr>
        <w:t>:</w:t>
      </w:r>
    </w:p>
    <w:p w14:paraId="19E15CDA" w14:textId="77777777" w:rsidR="002F73E6" w:rsidRDefault="002F73E6" w:rsidP="00055C33">
      <w:pPr>
        <w:numPr>
          <w:ilvl w:val="3"/>
          <w:numId w:val="11"/>
        </w:numPr>
        <w:spacing w:after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Device type</w:t>
      </w:r>
    </w:p>
    <w:p w14:paraId="055AEE91" w14:textId="7C1ABA2F" w:rsidR="00055C33" w:rsidRPr="00055C33" w:rsidRDefault="00055C33" w:rsidP="00055C33">
      <w:pPr>
        <w:numPr>
          <w:ilvl w:val="3"/>
          <w:numId w:val="11"/>
        </w:numPr>
        <w:spacing w:after="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</w:rPr>
        <w:t>Software/</w:t>
      </w:r>
      <w:r w:rsidR="002F73E6">
        <w:rPr>
          <w:rFonts w:asciiTheme="minorHAnsi" w:eastAsia="Calibri" w:hAnsiTheme="minorHAnsi" w:cstheme="minorHAnsi"/>
        </w:rPr>
        <w:t xml:space="preserve">model etc. </w:t>
      </w:r>
    </w:p>
    <w:p w14:paraId="7DD21D81" w14:textId="17B618DA" w:rsidR="00055C33" w:rsidRPr="00055C33" w:rsidRDefault="002F73E6" w:rsidP="00055C33">
      <w:pPr>
        <w:numPr>
          <w:ilvl w:val="3"/>
          <w:numId w:val="11"/>
        </w:numPr>
        <w:spacing w:after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Location (building/room/jack)</w:t>
      </w:r>
    </w:p>
    <w:p w14:paraId="00C2E32A" w14:textId="77777777" w:rsidR="00055C33" w:rsidRPr="00055C33" w:rsidRDefault="00055C33" w:rsidP="00055C33">
      <w:pPr>
        <w:numPr>
          <w:ilvl w:val="0"/>
          <w:numId w:val="10"/>
        </w:numPr>
        <w:spacing w:after="0"/>
        <w:rPr>
          <w:rFonts w:asciiTheme="minorHAnsi" w:eastAsia="Calibri" w:hAnsiTheme="minorHAnsi" w:cstheme="minorHAnsi"/>
        </w:rPr>
      </w:pPr>
      <w:r w:rsidRPr="00055C33">
        <w:rPr>
          <w:rFonts w:asciiTheme="minorHAnsi" w:eastAsia="Calibri" w:hAnsiTheme="minorHAnsi" w:cstheme="minorHAnsi"/>
          <w:b/>
        </w:rPr>
        <w:t>All business unit specific procedures involved in credit card acceptance</w:t>
      </w:r>
      <w:r w:rsidRPr="00055C33">
        <w:rPr>
          <w:rFonts w:asciiTheme="minorHAnsi" w:eastAsia="Calibri" w:hAnsiTheme="minorHAnsi" w:cstheme="minorHAnsi"/>
        </w:rPr>
        <w:t>.</w:t>
      </w:r>
    </w:p>
    <w:p w14:paraId="4F917B21" w14:textId="77777777" w:rsidR="00055C33" w:rsidRPr="00055C33" w:rsidRDefault="00055C33" w:rsidP="00055C33">
      <w:pPr>
        <w:spacing w:after="0"/>
        <w:ind w:left="1440"/>
        <w:rPr>
          <w:rFonts w:asciiTheme="minorHAnsi" w:eastAsia="Calibri" w:hAnsiTheme="minorHAnsi" w:cstheme="minorHAnsi"/>
        </w:rPr>
      </w:pPr>
    </w:p>
    <w:p w14:paraId="1B2D75A9" w14:textId="2B700EB2" w:rsidR="00055C33" w:rsidRPr="001A241E" w:rsidRDefault="00055C33" w:rsidP="00902601">
      <w:pPr>
        <w:spacing w:after="0"/>
        <w:ind w:left="1440"/>
        <w:rPr>
          <w:rFonts w:ascii="Arial" w:eastAsia="Calibri" w:hAnsi="Arial" w:cs="Arial"/>
          <w:szCs w:val="20"/>
        </w:rPr>
      </w:pPr>
      <w:r w:rsidRPr="00055C33">
        <w:rPr>
          <w:rFonts w:asciiTheme="minorHAnsi" w:eastAsia="Calibri" w:hAnsiTheme="minorHAnsi" w:cstheme="minorHAnsi"/>
        </w:rPr>
        <w:t>The division representative will gather all in</w:t>
      </w:r>
      <w:r>
        <w:rPr>
          <w:rFonts w:asciiTheme="minorHAnsi" w:eastAsia="Calibri" w:hAnsiTheme="minorHAnsi" w:cstheme="minorHAnsi"/>
        </w:rPr>
        <w:t>formation above by September 30</w:t>
      </w:r>
      <w:r w:rsidRPr="00055C33">
        <w:rPr>
          <w:rFonts w:asciiTheme="minorHAnsi" w:eastAsia="Calibri" w:hAnsiTheme="minorHAnsi" w:cstheme="minorHAnsi"/>
        </w:rPr>
        <w:t xml:space="preserve"> each calendar year. </w:t>
      </w:r>
    </w:p>
    <w:p w14:paraId="6A8DB35A" w14:textId="77777777" w:rsidR="00055C33" w:rsidRDefault="00055C33" w:rsidP="00902601">
      <w:pPr>
        <w:spacing w:after="0"/>
        <w:rPr>
          <w:rFonts w:asciiTheme="minorHAnsi" w:eastAsia="Calibri" w:hAnsiTheme="minorHAnsi" w:cstheme="minorHAnsi"/>
          <w:b/>
        </w:rPr>
      </w:pPr>
    </w:p>
    <w:p w14:paraId="2ABC3548" w14:textId="6C97A1CF" w:rsidR="00010A05" w:rsidRPr="004339A3" w:rsidRDefault="00010A05" w:rsidP="4B852EC2">
      <w:pPr>
        <w:snapToGrid w:val="0"/>
        <w:spacing w:after="120"/>
        <w:ind w:left="1440" w:hanging="720"/>
        <w:rPr>
          <w:rFonts w:eastAsia="Calibri"/>
        </w:rPr>
      </w:pPr>
      <w:r w:rsidRPr="4B852EC2">
        <w:rPr>
          <w:rFonts w:asciiTheme="minorHAnsi" w:eastAsia="Calibri" w:hAnsiTheme="minorHAnsi" w:cstheme="minorBidi"/>
          <w:b/>
          <w:bCs/>
        </w:rPr>
        <w:t>4.2</w:t>
      </w:r>
      <w:r w:rsidR="63243EE6" w:rsidRPr="4B852EC2">
        <w:rPr>
          <w:rFonts w:asciiTheme="minorHAnsi" w:eastAsia="Calibri" w:hAnsiTheme="minorHAnsi" w:cstheme="minorBidi"/>
          <w:b/>
          <w:bCs/>
        </w:rPr>
        <w:t xml:space="preserve"> </w:t>
      </w:r>
      <w:r>
        <w:rPr>
          <w:rFonts w:asciiTheme="minorHAnsi" w:eastAsia="Calibri" w:hAnsiTheme="minorHAnsi" w:cstheme="minorHAnsi"/>
          <w:b/>
        </w:rPr>
        <w:tab/>
      </w:r>
      <w:r w:rsidRPr="55002356">
        <w:rPr>
          <w:rFonts w:eastAsia="Calibri"/>
          <w:b/>
          <w:bCs/>
        </w:rPr>
        <w:t>Enter Inventory Information into VigiTrust</w:t>
      </w:r>
      <w:r w:rsidR="004339A3" w:rsidRPr="004339A3">
        <w:rPr>
          <w:rFonts w:eastAsia="Calibri"/>
        </w:rPr>
        <w:br/>
      </w:r>
      <w:r w:rsidR="0011301E">
        <w:rPr>
          <w:rFonts w:eastAsia="Calibri"/>
        </w:rPr>
        <w:t>T</w:t>
      </w:r>
      <w:r w:rsidR="0074791F" w:rsidRPr="004339A3">
        <w:rPr>
          <w:rFonts w:eastAsia="Calibri"/>
        </w:rPr>
        <w:t>hroughout</w:t>
      </w:r>
      <w:r w:rsidRPr="004339A3">
        <w:rPr>
          <w:rFonts w:eastAsia="Calibri"/>
        </w:rPr>
        <w:t xml:space="preserve"> the year, each division will keep their ass</w:t>
      </w:r>
      <w:r w:rsidR="004339A3" w:rsidRPr="004339A3">
        <w:rPr>
          <w:rFonts w:eastAsia="Calibri"/>
        </w:rPr>
        <w:t>essment information located in</w:t>
      </w:r>
      <w:r w:rsidRPr="004339A3">
        <w:rPr>
          <w:rFonts w:eastAsia="Calibri"/>
        </w:rPr>
        <w:t xml:space="preserve"> </w:t>
      </w:r>
      <w:r w:rsidR="004F4196">
        <w:rPr>
          <w:rFonts w:eastAsia="Calibri"/>
        </w:rPr>
        <w:t xml:space="preserve">the </w:t>
      </w:r>
      <w:r w:rsidRPr="781BB525">
        <w:rPr>
          <w:rFonts w:eastAsia="Calibri"/>
        </w:rPr>
        <w:t>VigiTrust</w:t>
      </w:r>
      <w:r w:rsidR="004F4196" w:rsidRPr="781BB525">
        <w:rPr>
          <w:rFonts w:eastAsia="Calibri"/>
        </w:rPr>
        <w:t xml:space="preserve"> risk management system</w:t>
      </w:r>
      <w:r w:rsidRPr="004339A3">
        <w:rPr>
          <w:rFonts w:eastAsia="Calibri"/>
        </w:rPr>
        <w:t>. In order to access assessment</w:t>
      </w:r>
      <w:r w:rsidR="004339A3" w:rsidRPr="004339A3">
        <w:rPr>
          <w:rFonts w:eastAsia="Calibri"/>
        </w:rPr>
        <w:t>s</w:t>
      </w:r>
      <w:r w:rsidRPr="004339A3">
        <w:rPr>
          <w:rFonts w:eastAsia="Calibri"/>
        </w:rPr>
        <w:t>, staff will n</w:t>
      </w:r>
      <w:r w:rsidR="004339A3" w:rsidRPr="004339A3">
        <w:rPr>
          <w:rFonts w:eastAsia="Calibri"/>
        </w:rPr>
        <w:t>eed to request an account for the VigiTrust p</w:t>
      </w:r>
      <w:r w:rsidRPr="004339A3">
        <w:rPr>
          <w:rFonts w:eastAsia="Calibri"/>
        </w:rPr>
        <w:t>ortal</w:t>
      </w:r>
      <w:r w:rsidR="004339A3" w:rsidRPr="004339A3">
        <w:rPr>
          <w:rFonts w:eastAsia="Calibri"/>
        </w:rPr>
        <w:t xml:space="preserve"> through the Information Security Office</w:t>
      </w:r>
      <w:r w:rsidRPr="004339A3">
        <w:rPr>
          <w:rFonts w:eastAsia="Calibri"/>
        </w:rPr>
        <w:t xml:space="preserve">. </w:t>
      </w:r>
    </w:p>
    <w:p w14:paraId="1154C60E" w14:textId="77777777" w:rsidR="00010A05" w:rsidRPr="00010A05" w:rsidRDefault="00010A05" w:rsidP="00902601">
      <w:pPr>
        <w:spacing w:after="0"/>
        <w:rPr>
          <w:rFonts w:asciiTheme="minorHAnsi" w:eastAsia="Calibri" w:hAnsiTheme="minorHAnsi" w:cs="Arial"/>
        </w:rPr>
      </w:pPr>
    </w:p>
    <w:p w14:paraId="7C3EB1B7" w14:textId="39A1243F" w:rsidR="00010A05" w:rsidRPr="00010A05" w:rsidRDefault="00010A05" w:rsidP="00902601">
      <w:pPr>
        <w:numPr>
          <w:ilvl w:val="0"/>
          <w:numId w:val="14"/>
        </w:numPr>
        <w:spacing w:after="160"/>
        <w:ind w:left="1800"/>
        <w:contextualSpacing/>
        <w:rPr>
          <w:rFonts w:asciiTheme="minorHAnsi" w:eastAsia="Calibri" w:hAnsiTheme="minorHAnsi"/>
          <w:b/>
          <w:u w:val="single"/>
        </w:rPr>
      </w:pPr>
      <w:r w:rsidRPr="00010A05">
        <w:rPr>
          <w:rFonts w:asciiTheme="minorHAnsi" w:eastAsia="Calibri" w:hAnsiTheme="minorHAnsi"/>
          <w:b/>
          <w:u w:val="single"/>
        </w:rPr>
        <w:t>Log</w:t>
      </w:r>
      <w:r w:rsidR="00902601">
        <w:rPr>
          <w:rFonts w:asciiTheme="minorHAnsi" w:eastAsia="Calibri" w:hAnsiTheme="minorHAnsi"/>
          <w:b/>
          <w:u w:val="single"/>
        </w:rPr>
        <w:t xml:space="preserve"> in</w:t>
      </w:r>
    </w:p>
    <w:p w14:paraId="0C34C740" w14:textId="4DABF210" w:rsidR="00010A05" w:rsidRPr="00010A05" w:rsidRDefault="55002356" w:rsidP="55002356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  <w:u w:val="single"/>
        </w:rPr>
      </w:pPr>
      <w:r w:rsidRPr="55002356">
        <w:rPr>
          <w:rFonts w:asciiTheme="minorHAnsi" w:eastAsia="Calibri" w:hAnsiTheme="minorHAnsi"/>
        </w:rPr>
        <w:t xml:space="preserve">Launch the portal in a web browser </w:t>
      </w:r>
      <w:hyperlink r:id="rId12">
        <w:r w:rsidRPr="55002356">
          <w:rPr>
            <w:rStyle w:val="Hyperlink"/>
            <w:rFonts w:asciiTheme="minorHAnsi" w:eastAsia="Calibri" w:hAnsiTheme="minorHAnsi"/>
            <w:color w:val="0563C1"/>
          </w:rPr>
          <w:t>https://vigione.com/vigitrust/login/index.php</w:t>
        </w:r>
      </w:hyperlink>
    </w:p>
    <w:p w14:paraId="45BC7B62" w14:textId="089A20C7" w:rsidR="00567679" w:rsidRPr="00567679" w:rsidRDefault="55002356" w:rsidP="00567679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</w:rPr>
      </w:pPr>
      <w:r w:rsidRPr="55002356">
        <w:rPr>
          <w:rFonts w:asciiTheme="minorHAnsi" w:eastAsia="Calibri" w:hAnsiTheme="minorHAnsi"/>
        </w:rPr>
        <w:t xml:space="preserve">Login to the portal with your unique VigiTrust credentials </w:t>
      </w:r>
      <w:r w:rsidRPr="55002356">
        <w:rPr>
          <w:rFonts w:asciiTheme="minorHAnsi" w:eastAsia="Calibri" w:hAnsiTheme="minorHAnsi"/>
          <w:i/>
          <w:iCs/>
        </w:rPr>
        <w:t xml:space="preserve">(not linked to </w:t>
      </w:r>
      <w:r w:rsidR="00567679">
        <w:rPr>
          <w:rFonts w:asciiTheme="minorHAnsi" w:eastAsia="Calibri" w:hAnsiTheme="minorHAnsi"/>
          <w:i/>
          <w:iCs/>
        </w:rPr>
        <w:t>SacLink</w:t>
      </w:r>
      <w:r w:rsidRPr="55002356">
        <w:rPr>
          <w:rFonts w:asciiTheme="minorHAnsi" w:eastAsia="Calibri" w:hAnsiTheme="minorHAnsi"/>
          <w:i/>
          <w:iCs/>
        </w:rPr>
        <w:t xml:space="preserve"> credentials)</w:t>
      </w:r>
    </w:p>
    <w:p w14:paraId="44AA687C" w14:textId="77777777" w:rsidR="00010A05" w:rsidRPr="00010A05" w:rsidRDefault="00010A05" w:rsidP="00902601">
      <w:pPr>
        <w:spacing w:after="160"/>
        <w:ind w:left="1800"/>
        <w:contextualSpacing/>
        <w:rPr>
          <w:rFonts w:asciiTheme="minorHAnsi" w:eastAsia="Calibri" w:hAnsiTheme="minorHAnsi"/>
          <w:b/>
        </w:rPr>
      </w:pPr>
    </w:p>
    <w:p w14:paraId="587748B8" w14:textId="3C1E4969" w:rsidR="00010A05" w:rsidRPr="00010A05" w:rsidRDefault="00902601" w:rsidP="00902601">
      <w:pPr>
        <w:numPr>
          <w:ilvl w:val="0"/>
          <w:numId w:val="14"/>
        </w:numPr>
        <w:spacing w:after="160"/>
        <w:ind w:left="1800"/>
        <w:contextualSpacing/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  <w:b/>
          <w:u w:val="single"/>
        </w:rPr>
        <w:lastRenderedPageBreak/>
        <w:t>Open your Assessment</w:t>
      </w:r>
    </w:p>
    <w:p w14:paraId="732D955B" w14:textId="56BAEDE7" w:rsidR="00010A05" w:rsidRPr="00010A05" w:rsidRDefault="00902601" w:rsidP="00902601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From the home page, c</w:t>
      </w:r>
      <w:r w:rsidR="00010A05" w:rsidRPr="00010A05">
        <w:rPr>
          <w:rFonts w:asciiTheme="minorHAnsi" w:eastAsia="Calibri" w:hAnsiTheme="minorHAnsi"/>
        </w:rPr>
        <w:t>lick ‘Assessments</w:t>
      </w:r>
      <w:r>
        <w:rPr>
          <w:rFonts w:asciiTheme="minorHAnsi" w:eastAsia="Calibri" w:hAnsiTheme="minorHAnsi"/>
        </w:rPr>
        <w:t xml:space="preserve">’ and </w:t>
      </w:r>
      <w:r w:rsidR="00567679">
        <w:rPr>
          <w:rFonts w:asciiTheme="minorHAnsi" w:eastAsia="Calibri" w:hAnsiTheme="minorHAnsi"/>
        </w:rPr>
        <w:t>then</w:t>
      </w:r>
      <w:r>
        <w:rPr>
          <w:rFonts w:asciiTheme="minorHAnsi" w:eastAsia="Calibri" w:hAnsiTheme="minorHAnsi"/>
        </w:rPr>
        <w:t xml:space="preserve"> </w:t>
      </w:r>
      <w:r w:rsidR="00567679">
        <w:rPr>
          <w:rFonts w:asciiTheme="minorHAnsi" w:eastAsia="Calibri" w:hAnsiTheme="minorHAnsi"/>
        </w:rPr>
        <w:t>‘A</w:t>
      </w:r>
      <w:r w:rsidR="00010A05" w:rsidRPr="00010A05">
        <w:rPr>
          <w:rFonts w:asciiTheme="minorHAnsi" w:eastAsia="Calibri" w:hAnsiTheme="minorHAnsi"/>
        </w:rPr>
        <w:t>ssessments</w:t>
      </w:r>
      <w:r w:rsidR="00567679">
        <w:rPr>
          <w:rFonts w:asciiTheme="minorHAnsi" w:eastAsia="Calibri" w:hAnsiTheme="minorHAnsi"/>
        </w:rPr>
        <w:t xml:space="preserve"> Management’</w:t>
      </w:r>
      <w:r w:rsidR="00010A05" w:rsidRPr="00010A05">
        <w:rPr>
          <w:rFonts w:asciiTheme="minorHAnsi" w:eastAsia="Calibri" w:hAnsiTheme="minorHAnsi"/>
        </w:rPr>
        <w:t xml:space="preserve">.  </w:t>
      </w:r>
    </w:p>
    <w:p w14:paraId="36C7AE15" w14:textId="77777777" w:rsidR="00010A05" w:rsidRPr="00902601" w:rsidRDefault="00010A05" w:rsidP="00902601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  <w:sz w:val="18"/>
        </w:rPr>
      </w:pPr>
      <w:r w:rsidRPr="00010A05">
        <w:rPr>
          <w:rFonts w:asciiTheme="minorHAnsi" w:eastAsia="Calibri" w:hAnsiTheme="minorHAnsi"/>
        </w:rPr>
        <w:t xml:space="preserve">Assessment naming schema:  </w:t>
      </w:r>
      <w:r w:rsidRPr="00902601">
        <w:rPr>
          <w:rFonts w:asciiTheme="minorHAnsi" w:eastAsia="Calibri" w:hAnsiTheme="minorHAnsi"/>
          <w:sz w:val="18"/>
        </w:rPr>
        <w:t>&lt;PCI Area&gt;-&lt;SAQ types covered&gt;-&lt;Assessment year&gt;</w:t>
      </w:r>
    </w:p>
    <w:p w14:paraId="256E365E" w14:textId="651A87DF" w:rsidR="00010A05" w:rsidRPr="00010A05" w:rsidRDefault="00010A05" w:rsidP="00902601">
      <w:pPr>
        <w:spacing w:after="160"/>
        <w:ind w:left="2520"/>
        <w:contextualSpacing/>
        <w:rPr>
          <w:rFonts w:asciiTheme="minorHAnsi" w:eastAsia="Calibri" w:hAnsiTheme="minorHAnsi"/>
        </w:rPr>
      </w:pPr>
      <w:r w:rsidRPr="00902601">
        <w:rPr>
          <w:rFonts w:asciiTheme="minorHAnsi" w:eastAsia="Calibri" w:hAnsiTheme="minorHAnsi"/>
          <w:i/>
        </w:rPr>
        <w:t>Example</w:t>
      </w:r>
      <w:r w:rsidRPr="00010A05">
        <w:rPr>
          <w:rFonts w:asciiTheme="minorHAnsi" w:eastAsia="Calibri" w:hAnsiTheme="minorHAnsi"/>
        </w:rPr>
        <w:t>: Stateside-SAQ</w:t>
      </w:r>
      <w:r w:rsidR="00567679">
        <w:rPr>
          <w:rFonts w:asciiTheme="minorHAnsi" w:eastAsia="Calibri" w:hAnsiTheme="minorHAnsi"/>
        </w:rPr>
        <w:t>-</w:t>
      </w:r>
      <w:r w:rsidRPr="00010A05">
        <w:rPr>
          <w:rFonts w:asciiTheme="minorHAnsi" w:eastAsia="Calibri" w:hAnsiTheme="minorHAnsi"/>
        </w:rPr>
        <w:t>B-2016</w:t>
      </w:r>
    </w:p>
    <w:p w14:paraId="10288CB8" w14:textId="2AF3FAA3" w:rsidR="00010A05" w:rsidRPr="00010A05" w:rsidRDefault="00010A05" w:rsidP="00902601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</w:rPr>
      </w:pPr>
      <w:r w:rsidRPr="00010A05">
        <w:rPr>
          <w:rFonts w:asciiTheme="minorHAnsi" w:eastAsia="Calibri" w:hAnsiTheme="minorHAnsi"/>
        </w:rPr>
        <w:t>Click the assessment associated with the PCI Area on campus you represent</w:t>
      </w:r>
      <w:r w:rsidR="00902601">
        <w:rPr>
          <w:rFonts w:asciiTheme="minorHAnsi" w:eastAsia="Calibri" w:hAnsiTheme="minorHAnsi"/>
        </w:rPr>
        <w:t>.</w:t>
      </w:r>
    </w:p>
    <w:p w14:paraId="7EAB16C7" w14:textId="77777777" w:rsidR="00010A05" w:rsidRDefault="00010A05" w:rsidP="00902601">
      <w:pPr>
        <w:spacing w:after="160"/>
        <w:ind w:left="1800"/>
        <w:contextualSpacing/>
        <w:rPr>
          <w:rFonts w:asciiTheme="minorHAnsi" w:eastAsia="Calibri" w:hAnsiTheme="minorHAnsi"/>
        </w:rPr>
      </w:pPr>
    </w:p>
    <w:p w14:paraId="7F4C26FA" w14:textId="77777777" w:rsidR="00DD144C" w:rsidRPr="00010A05" w:rsidRDefault="00DD144C" w:rsidP="00902601">
      <w:pPr>
        <w:spacing w:after="160"/>
        <w:ind w:left="1800"/>
        <w:contextualSpacing/>
        <w:rPr>
          <w:rFonts w:asciiTheme="minorHAnsi" w:eastAsia="Calibri" w:hAnsiTheme="minorHAnsi"/>
        </w:rPr>
      </w:pPr>
    </w:p>
    <w:p w14:paraId="0495C962" w14:textId="0636B866" w:rsidR="00010A05" w:rsidRPr="00010A05" w:rsidRDefault="00DD144C" w:rsidP="00902601">
      <w:pPr>
        <w:numPr>
          <w:ilvl w:val="0"/>
          <w:numId w:val="14"/>
        </w:numPr>
        <w:spacing w:after="160"/>
        <w:ind w:left="1800"/>
        <w:contextualSpacing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  <w:u w:val="single"/>
        </w:rPr>
        <w:t>S</w:t>
      </w:r>
      <w:r w:rsidR="00010A05" w:rsidRPr="00010A05">
        <w:rPr>
          <w:rFonts w:asciiTheme="minorHAnsi" w:eastAsia="Calibri" w:hAnsiTheme="minorHAnsi"/>
          <w:b/>
          <w:u w:val="single"/>
        </w:rPr>
        <w:t>ection</w:t>
      </w:r>
      <w:r>
        <w:rPr>
          <w:rFonts w:asciiTheme="minorHAnsi" w:eastAsia="Calibri" w:hAnsiTheme="minorHAnsi"/>
          <w:b/>
          <w:u w:val="single"/>
        </w:rPr>
        <w:t>s E</w:t>
      </w:r>
      <w:r w:rsidR="00010A05" w:rsidRPr="00010A05">
        <w:rPr>
          <w:rFonts w:asciiTheme="minorHAnsi" w:eastAsia="Calibri" w:hAnsiTheme="minorHAnsi"/>
          <w:b/>
          <w:u w:val="single"/>
        </w:rPr>
        <w:t>xplained</w:t>
      </w:r>
      <w:r w:rsidR="00010A05" w:rsidRPr="00010A05">
        <w:rPr>
          <w:rFonts w:asciiTheme="minorHAnsi" w:eastAsia="Calibri" w:hAnsiTheme="minorHAnsi"/>
          <w:b/>
        </w:rPr>
        <w:tab/>
      </w:r>
    </w:p>
    <w:p w14:paraId="015B5619" w14:textId="4DC65EE9" w:rsidR="00010A05" w:rsidRPr="00010A05" w:rsidRDefault="00010A05" w:rsidP="00902601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</w:rPr>
      </w:pPr>
      <w:r w:rsidRPr="00010A05">
        <w:rPr>
          <w:rFonts w:asciiTheme="minorHAnsi" w:eastAsia="Calibri" w:hAnsiTheme="minorHAnsi"/>
          <w:b/>
        </w:rPr>
        <w:t>Overview:</w:t>
      </w:r>
      <w:r w:rsidRPr="00010A05">
        <w:rPr>
          <w:rFonts w:asciiTheme="minorHAnsi" w:eastAsia="Calibri" w:hAnsiTheme="minorHAnsi"/>
        </w:rPr>
        <w:t xml:space="preserve"> </w:t>
      </w:r>
      <w:r w:rsidR="00902601">
        <w:rPr>
          <w:rFonts w:asciiTheme="minorHAnsi" w:eastAsia="Calibri" w:hAnsiTheme="minorHAnsi"/>
        </w:rPr>
        <w:t>H</w:t>
      </w:r>
      <w:r w:rsidRPr="00010A05">
        <w:rPr>
          <w:rFonts w:asciiTheme="minorHAnsi" w:eastAsia="Calibri" w:hAnsiTheme="minorHAnsi"/>
        </w:rPr>
        <w:t>ow close to compliance the assessment is for each of the controls.</w:t>
      </w:r>
    </w:p>
    <w:p w14:paraId="2802B7FA" w14:textId="704A63B9" w:rsidR="00010A05" w:rsidRPr="00010A05" w:rsidRDefault="00010A05" w:rsidP="00902601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</w:rPr>
      </w:pPr>
      <w:r w:rsidRPr="00010A05">
        <w:rPr>
          <w:rFonts w:asciiTheme="minorHAnsi" w:eastAsia="Calibri" w:hAnsiTheme="minorHAnsi"/>
          <w:b/>
        </w:rPr>
        <w:t>Environment:</w:t>
      </w:r>
      <w:r w:rsidRPr="00010A05">
        <w:rPr>
          <w:rFonts w:asciiTheme="minorHAnsi" w:eastAsia="Calibri" w:hAnsiTheme="minorHAnsi"/>
        </w:rPr>
        <w:t xml:space="preserve"> Enter </w:t>
      </w:r>
      <w:r w:rsidR="00902601">
        <w:rPr>
          <w:rFonts w:asciiTheme="minorHAnsi" w:eastAsia="Calibri" w:hAnsiTheme="minorHAnsi"/>
        </w:rPr>
        <w:t xml:space="preserve">organization </w:t>
      </w:r>
      <w:r w:rsidRPr="00010A05">
        <w:rPr>
          <w:rFonts w:asciiTheme="minorHAnsi" w:eastAsia="Calibri" w:hAnsiTheme="minorHAnsi"/>
        </w:rPr>
        <w:t>information here.  Based on the info provided, the portal will calcu</w:t>
      </w:r>
      <w:r w:rsidR="00902601">
        <w:rPr>
          <w:rFonts w:asciiTheme="minorHAnsi" w:eastAsia="Calibri" w:hAnsiTheme="minorHAnsi"/>
        </w:rPr>
        <w:t xml:space="preserve">late the required SAQ type(s). </w:t>
      </w:r>
      <w:r w:rsidRPr="00010A05">
        <w:rPr>
          <w:rFonts w:asciiTheme="minorHAnsi" w:eastAsia="Calibri" w:hAnsiTheme="minorHAnsi"/>
        </w:rPr>
        <w:t>Through this section you will also add the following assets types:</w:t>
      </w:r>
    </w:p>
    <w:p w14:paraId="14B0787A" w14:textId="77777777" w:rsidR="00902601" w:rsidRDefault="00010A05" w:rsidP="00902601">
      <w:pPr>
        <w:pStyle w:val="ListParagraph"/>
        <w:numPr>
          <w:ilvl w:val="0"/>
          <w:numId w:val="18"/>
        </w:numPr>
        <w:spacing w:after="0"/>
        <w:rPr>
          <w:rFonts w:eastAsia="Calibri"/>
        </w:rPr>
      </w:pPr>
      <w:r w:rsidRPr="00902601">
        <w:rPr>
          <w:rFonts w:eastAsia="Calibri"/>
        </w:rPr>
        <w:t>Swipe terminals</w:t>
      </w:r>
    </w:p>
    <w:p w14:paraId="6736BED4" w14:textId="510A9BE3" w:rsidR="00010A05" w:rsidRPr="00902601" w:rsidRDefault="00010A05" w:rsidP="00902601">
      <w:pPr>
        <w:pStyle w:val="ListParagraph"/>
        <w:numPr>
          <w:ilvl w:val="0"/>
          <w:numId w:val="18"/>
        </w:numPr>
        <w:spacing w:after="0"/>
        <w:rPr>
          <w:rFonts w:eastAsia="Calibri"/>
        </w:rPr>
      </w:pPr>
      <w:r w:rsidRPr="00902601">
        <w:rPr>
          <w:rFonts w:eastAsia="Calibri"/>
        </w:rPr>
        <w:t>Outsourced Ecommerce service providers</w:t>
      </w:r>
    </w:p>
    <w:p w14:paraId="3A43A69E" w14:textId="77777777" w:rsidR="00010A05" w:rsidRPr="00902601" w:rsidRDefault="00010A05" w:rsidP="00902601">
      <w:pPr>
        <w:pStyle w:val="ListParagraph"/>
        <w:numPr>
          <w:ilvl w:val="0"/>
          <w:numId w:val="18"/>
        </w:numPr>
        <w:spacing w:after="0"/>
        <w:rPr>
          <w:rFonts w:eastAsia="Calibri"/>
        </w:rPr>
      </w:pPr>
      <w:r w:rsidRPr="00902601">
        <w:rPr>
          <w:rFonts w:eastAsia="Calibri"/>
        </w:rPr>
        <w:t>Acquirers</w:t>
      </w:r>
    </w:p>
    <w:p w14:paraId="505BC43A" w14:textId="77777777" w:rsidR="00010A05" w:rsidRPr="00902601" w:rsidRDefault="00010A05" w:rsidP="00902601">
      <w:pPr>
        <w:pStyle w:val="ListParagraph"/>
        <w:numPr>
          <w:ilvl w:val="0"/>
          <w:numId w:val="18"/>
        </w:numPr>
        <w:spacing w:after="0"/>
        <w:rPr>
          <w:rFonts w:eastAsia="Calibri"/>
        </w:rPr>
      </w:pPr>
      <w:r w:rsidRPr="00902601">
        <w:rPr>
          <w:rFonts w:eastAsia="Calibri"/>
        </w:rPr>
        <w:t>Payment Processors</w:t>
      </w:r>
    </w:p>
    <w:p w14:paraId="6B83D430" w14:textId="04904543" w:rsidR="00010A05" w:rsidRPr="00902601" w:rsidRDefault="00010A05" w:rsidP="00902601">
      <w:pPr>
        <w:pStyle w:val="ListParagraph"/>
        <w:numPr>
          <w:ilvl w:val="0"/>
          <w:numId w:val="18"/>
        </w:numPr>
        <w:spacing w:after="0"/>
        <w:rPr>
          <w:rFonts w:eastAsia="Calibri"/>
        </w:rPr>
      </w:pPr>
      <w:r w:rsidRPr="00902601">
        <w:rPr>
          <w:rFonts w:eastAsia="Calibri"/>
        </w:rPr>
        <w:t>Facilities</w:t>
      </w:r>
    </w:p>
    <w:p w14:paraId="3B701D97" w14:textId="37DB658D" w:rsidR="00010A05" w:rsidRPr="00010A05" w:rsidRDefault="00010A05" w:rsidP="00902601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</w:rPr>
      </w:pPr>
      <w:r w:rsidRPr="00010A05">
        <w:rPr>
          <w:rFonts w:asciiTheme="minorHAnsi" w:eastAsia="Calibri" w:hAnsiTheme="minorHAnsi"/>
          <w:b/>
        </w:rPr>
        <w:t>Controls:</w:t>
      </w:r>
      <w:r w:rsidRPr="00010A05">
        <w:rPr>
          <w:rFonts w:asciiTheme="minorHAnsi" w:eastAsia="Calibri" w:hAnsiTheme="minorHAnsi"/>
        </w:rPr>
        <w:t xml:space="preserve"> These are the required questions to be answered based on the SAQ type determined in the Environment secti</w:t>
      </w:r>
      <w:r w:rsidR="00902601">
        <w:rPr>
          <w:rFonts w:asciiTheme="minorHAnsi" w:eastAsia="Calibri" w:hAnsiTheme="minorHAnsi"/>
        </w:rPr>
        <w:t xml:space="preserve">on. Each question has </w:t>
      </w:r>
      <w:r w:rsidR="00567679">
        <w:rPr>
          <w:rFonts w:asciiTheme="minorHAnsi" w:eastAsia="Calibri" w:hAnsiTheme="minorHAnsi"/>
        </w:rPr>
        <w:t>five</w:t>
      </w:r>
      <w:r w:rsidRPr="00010A05">
        <w:rPr>
          <w:rFonts w:asciiTheme="minorHAnsi" w:eastAsia="Calibri" w:hAnsiTheme="minorHAnsi"/>
        </w:rPr>
        <w:t xml:space="preserve"> possible answers.</w:t>
      </w:r>
    </w:p>
    <w:p w14:paraId="572BEFEA" w14:textId="3F7480F6" w:rsidR="00010A05" w:rsidRPr="00902601" w:rsidRDefault="00567679" w:rsidP="00902601">
      <w:pPr>
        <w:numPr>
          <w:ilvl w:val="2"/>
          <w:numId w:val="15"/>
        </w:numPr>
        <w:spacing w:after="160"/>
        <w:ind w:left="3420"/>
        <w:contextualSpacing/>
        <w:rPr>
          <w:rFonts w:asciiTheme="minorHAnsi" w:eastAsia="Calibri" w:hAnsiTheme="minorHAnsi"/>
          <w:i/>
        </w:rPr>
      </w:pPr>
      <w:r>
        <w:rPr>
          <w:rFonts w:asciiTheme="minorHAnsi" w:eastAsia="Calibri" w:hAnsiTheme="minorHAnsi"/>
          <w:b/>
        </w:rPr>
        <w:t>In Place</w:t>
      </w:r>
      <w:r w:rsidR="00010A05" w:rsidRPr="00010A05">
        <w:rPr>
          <w:rFonts w:asciiTheme="minorHAnsi" w:eastAsia="Calibri" w:hAnsiTheme="minorHAnsi"/>
        </w:rPr>
        <w:t xml:space="preserve"> – </w:t>
      </w:r>
      <w:r w:rsidR="00010A05" w:rsidRPr="00DD144C">
        <w:rPr>
          <w:rFonts w:asciiTheme="minorHAnsi" w:eastAsia="Calibri" w:hAnsiTheme="minorHAnsi"/>
          <w:color w:val="000000" w:themeColor="text1"/>
        </w:rPr>
        <w:t xml:space="preserve">This selection </w:t>
      </w:r>
      <w:r w:rsidR="00010A05" w:rsidRPr="00567679">
        <w:rPr>
          <w:rFonts w:asciiTheme="minorHAnsi" w:eastAsia="Calibri" w:hAnsiTheme="minorHAnsi"/>
          <w:i/>
          <w:color w:val="000000" w:themeColor="text1"/>
          <w:u w:val="single"/>
        </w:rPr>
        <w:t>requires</w:t>
      </w:r>
      <w:r w:rsidR="00010A05" w:rsidRPr="00DD144C">
        <w:rPr>
          <w:rFonts w:asciiTheme="minorHAnsi" w:eastAsia="Calibri" w:hAnsiTheme="minorHAnsi"/>
          <w:color w:val="000000" w:themeColor="text1"/>
        </w:rPr>
        <w:t xml:space="preserve"> </w:t>
      </w:r>
      <w:r>
        <w:rPr>
          <w:rFonts w:asciiTheme="minorHAnsi" w:eastAsia="Calibri" w:hAnsiTheme="minorHAnsi"/>
          <w:color w:val="000000" w:themeColor="text1"/>
        </w:rPr>
        <w:t xml:space="preserve">submission of </w:t>
      </w:r>
      <w:r w:rsidR="00010A05" w:rsidRPr="00DD144C">
        <w:rPr>
          <w:rFonts w:asciiTheme="minorHAnsi" w:eastAsia="Calibri" w:hAnsiTheme="minorHAnsi"/>
          <w:color w:val="000000" w:themeColor="text1"/>
        </w:rPr>
        <w:t>supporting evidence</w:t>
      </w:r>
      <w:r w:rsidR="00902601" w:rsidRPr="00DD144C">
        <w:rPr>
          <w:rFonts w:asciiTheme="minorHAnsi" w:eastAsia="Calibri" w:hAnsiTheme="minorHAnsi"/>
          <w:color w:val="000000" w:themeColor="text1"/>
        </w:rPr>
        <w:t>.</w:t>
      </w:r>
      <w:r w:rsidR="00010A05" w:rsidRPr="00DD144C">
        <w:rPr>
          <w:rFonts w:asciiTheme="minorHAnsi" w:eastAsia="Calibri" w:hAnsiTheme="minorHAnsi"/>
          <w:color w:val="000000" w:themeColor="text1"/>
        </w:rPr>
        <w:t xml:space="preserve"> </w:t>
      </w:r>
      <w:r w:rsidR="00010A05" w:rsidRPr="00902601">
        <w:rPr>
          <w:rFonts w:asciiTheme="minorHAnsi" w:eastAsia="Calibri" w:hAnsiTheme="minorHAnsi"/>
          <w:i/>
        </w:rPr>
        <w:t>(explained below)</w:t>
      </w:r>
    </w:p>
    <w:p w14:paraId="4B9FB77A" w14:textId="310A367E" w:rsidR="00010A05" w:rsidRPr="00010A05" w:rsidRDefault="00010A05" w:rsidP="00902601">
      <w:pPr>
        <w:numPr>
          <w:ilvl w:val="2"/>
          <w:numId w:val="15"/>
        </w:numPr>
        <w:spacing w:after="160"/>
        <w:ind w:left="3420"/>
        <w:contextualSpacing/>
        <w:rPr>
          <w:rFonts w:asciiTheme="minorHAnsi" w:eastAsia="Calibri" w:hAnsiTheme="minorHAnsi"/>
        </w:rPr>
      </w:pPr>
      <w:r w:rsidRPr="00902601">
        <w:rPr>
          <w:rFonts w:asciiTheme="minorHAnsi" w:eastAsia="Calibri" w:hAnsiTheme="minorHAnsi"/>
          <w:b/>
        </w:rPr>
        <w:t>No</w:t>
      </w:r>
      <w:r w:rsidR="00567679">
        <w:rPr>
          <w:rFonts w:asciiTheme="minorHAnsi" w:eastAsia="Calibri" w:hAnsiTheme="minorHAnsi"/>
          <w:b/>
        </w:rPr>
        <w:t>t in place</w:t>
      </w:r>
      <w:r w:rsidRPr="00010A05">
        <w:rPr>
          <w:rFonts w:asciiTheme="minorHAnsi" w:eastAsia="Calibri" w:hAnsiTheme="minorHAnsi"/>
        </w:rPr>
        <w:t xml:space="preserve"> –</w:t>
      </w:r>
      <w:r w:rsidR="00567679">
        <w:rPr>
          <w:rFonts w:asciiTheme="minorHAnsi" w:eastAsia="Calibri" w:hAnsiTheme="minorHAnsi"/>
        </w:rPr>
        <w:t xml:space="preserve"> Please state the reason(s) why this requirement is not in place.</w:t>
      </w:r>
    </w:p>
    <w:p w14:paraId="494EAA7F" w14:textId="00D94403" w:rsidR="00010A05" w:rsidRPr="00010A05" w:rsidRDefault="00567679" w:rsidP="00902601">
      <w:pPr>
        <w:numPr>
          <w:ilvl w:val="2"/>
          <w:numId w:val="15"/>
        </w:numPr>
        <w:spacing w:after="160"/>
        <w:ind w:left="3420"/>
        <w:contextualSpacing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Compensating</w:t>
      </w:r>
      <w:r w:rsidR="00010A05" w:rsidRPr="00902601">
        <w:rPr>
          <w:rFonts w:asciiTheme="minorHAnsi" w:eastAsia="Calibri" w:hAnsiTheme="minorHAnsi"/>
          <w:b/>
        </w:rPr>
        <w:t xml:space="preserve"> </w:t>
      </w:r>
      <w:r w:rsidR="00010A05" w:rsidRPr="00010A05">
        <w:rPr>
          <w:rFonts w:asciiTheme="minorHAnsi" w:eastAsia="Calibri" w:hAnsiTheme="minorHAnsi"/>
        </w:rPr>
        <w:t xml:space="preserve">– </w:t>
      </w:r>
      <w:r>
        <w:rPr>
          <w:rFonts w:asciiTheme="minorHAnsi" w:eastAsia="Calibri" w:hAnsiTheme="minorHAnsi"/>
        </w:rPr>
        <w:t>If you cannot meet this requirement due to legitimate technical or document business constraints</w:t>
      </w:r>
    </w:p>
    <w:p w14:paraId="69EFA88B" w14:textId="77777777" w:rsidR="00010A05" w:rsidRPr="00010A05" w:rsidRDefault="00010A05" w:rsidP="00902601">
      <w:pPr>
        <w:numPr>
          <w:ilvl w:val="2"/>
          <w:numId w:val="15"/>
        </w:numPr>
        <w:spacing w:after="160"/>
        <w:ind w:left="3420"/>
        <w:contextualSpacing/>
        <w:rPr>
          <w:rFonts w:asciiTheme="minorHAnsi" w:eastAsia="Calibri" w:hAnsiTheme="minorHAnsi"/>
        </w:rPr>
      </w:pPr>
      <w:r w:rsidRPr="00902601">
        <w:rPr>
          <w:rFonts w:asciiTheme="minorHAnsi" w:eastAsia="Calibri" w:hAnsiTheme="minorHAnsi"/>
          <w:b/>
        </w:rPr>
        <w:t>Not Applicable</w:t>
      </w:r>
      <w:r w:rsidRPr="00010A05">
        <w:rPr>
          <w:rFonts w:asciiTheme="minorHAnsi" w:eastAsia="Calibri" w:hAnsiTheme="minorHAnsi"/>
        </w:rPr>
        <w:t xml:space="preserve"> – Requires provided explanation field be filled out.</w:t>
      </w:r>
    </w:p>
    <w:p w14:paraId="2A21D79B" w14:textId="2DA6099D" w:rsidR="00010A05" w:rsidRDefault="00010A05" w:rsidP="00902601">
      <w:pPr>
        <w:numPr>
          <w:ilvl w:val="2"/>
          <w:numId w:val="15"/>
        </w:numPr>
        <w:spacing w:after="160"/>
        <w:ind w:left="3420"/>
        <w:contextualSpacing/>
        <w:rPr>
          <w:rFonts w:asciiTheme="minorHAnsi" w:eastAsia="Calibri" w:hAnsiTheme="minorHAnsi"/>
        </w:rPr>
      </w:pPr>
      <w:r w:rsidRPr="00902601">
        <w:rPr>
          <w:rFonts w:asciiTheme="minorHAnsi" w:eastAsia="Calibri" w:hAnsiTheme="minorHAnsi"/>
          <w:b/>
        </w:rPr>
        <w:t>Not Tested</w:t>
      </w:r>
      <w:r w:rsidRPr="00010A05">
        <w:rPr>
          <w:rFonts w:asciiTheme="minorHAnsi" w:eastAsia="Calibri" w:hAnsiTheme="minorHAnsi"/>
        </w:rPr>
        <w:t xml:space="preserve"> – Placeholder for future completion</w:t>
      </w:r>
      <w:r w:rsidR="00902601">
        <w:rPr>
          <w:rFonts w:asciiTheme="minorHAnsi" w:eastAsia="Calibri" w:hAnsiTheme="minorHAnsi"/>
        </w:rPr>
        <w:t>.</w:t>
      </w:r>
    </w:p>
    <w:p w14:paraId="55CBA892" w14:textId="77777777" w:rsidR="00567679" w:rsidRPr="00010A05" w:rsidRDefault="00567679" w:rsidP="00567679">
      <w:pPr>
        <w:spacing w:after="160"/>
        <w:ind w:left="3420"/>
        <w:contextualSpacing/>
        <w:rPr>
          <w:rFonts w:asciiTheme="minorHAnsi" w:eastAsia="Calibri" w:hAnsiTheme="minorHAnsi"/>
        </w:rPr>
      </w:pPr>
    </w:p>
    <w:p w14:paraId="1AEF2C9E" w14:textId="41A22510" w:rsidR="00010A05" w:rsidRPr="00010A05" w:rsidRDefault="00010A05" w:rsidP="00902601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</w:rPr>
      </w:pPr>
      <w:r w:rsidRPr="00010A05">
        <w:rPr>
          <w:rFonts w:asciiTheme="minorHAnsi" w:eastAsia="Calibri" w:hAnsiTheme="minorHAnsi"/>
          <w:b/>
        </w:rPr>
        <w:t>Evidence:</w:t>
      </w:r>
      <w:r w:rsidRPr="00010A05">
        <w:rPr>
          <w:rFonts w:asciiTheme="minorHAnsi" w:eastAsia="Calibri" w:hAnsiTheme="minorHAnsi"/>
        </w:rPr>
        <w:t xml:space="preserve"> Shows consolidated list of all evidence en</w:t>
      </w:r>
      <w:r>
        <w:rPr>
          <w:rFonts w:asciiTheme="minorHAnsi" w:eastAsia="Calibri" w:hAnsiTheme="minorHAnsi"/>
        </w:rPr>
        <w:t>tered through control section</w:t>
      </w:r>
      <w:r w:rsidR="002D7EEA">
        <w:rPr>
          <w:rFonts w:asciiTheme="minorHAnsi" w:eastAsia="Calibri" w:hAnsiTheme="minorHAnsi"/>
        </w:rPr>
        <w:t xml:space="preserve"> using the </w:t>
      </w:r>
      <w:r w:rsidRPr="00010A05">
        <w:rPr>
          <w:rFonts w:asciiTheme="minorHAnsi" w:eastAsia="Calibri" w:hAnsiTheme="minorHAnsi"/>
        </w:rPr>
        <w:t xml:space="preserve">naming schema:  </w:t>
      </w:r>
      <w:r w:rsidRPr="002D7EEA">
        <w:rPr>
          <w:rFonts w:asciiTheme="minorHAnsi" w:eastAsia="Calibri" w:hAnsiTheme="minorHAnsi"/>
          <w:sz w:val="16"/>
        </w:rPr>
        <w:t>&lt;PCI Area&gt;-&lt;department&gt;-&lt;evidence type&gt;-&lt;name&gt;</w:t>
      </w:r>
    </w:p>
    <w:p w14:paraId="648F5EF8" w14:textId="7CFEBC4F" w:rsidR="00010A05" w:rsidRPr="00894B06" w:rsidRDefault="002D7EEA" w:rsidP="002D7EEA">
      <w:pPr>
        <w:spacing w:after="160"/>
        <w:ind w:left="3240"/>
        <w:contextualSpacing/>
        <w:rPr>
          <w:rFonts w:asciiTheme="minorHAnsi" w:eastAsia="Calibri" w:hAnsiTheme="minorHAnsi"/>
          <w:i/>
        </w:rPr>
      </w:pPr>
      <w:r w:rsidRPr="00894B06">
        <w:rPr>
          <w:rFonts w:asciiTheme="minorHAnsi" w:eastAsia="Calibri" w:hAnsiTheme="minorHAnsi"/>
          <w:i/>
        </w:rPr>
        <w:t>E</w:t>
      </w:r>
      <w:r w:rsidR="00010A05" w:rsidRPr="00894B06">
        <w:rPr>
          <w:rFonts w:asciiTheme="minorHAnsi" w:eastAsia="Calibri" w:hAnsiTheme="minorHAnsi"/>
          <w:i/>
        </w:rPr>
        <w:t>xamples:</w:t>
      </w:r>
    </w:p>
    <w:p w14:paraId="668CB52C" w14:textId="1C7A1977" w:rsidR="00567679" w:rsidRDefault="00567679" w:rsidP="00902601">
      <w:pPr>
        <w:numPr>
          <w:ilvl w:val="3"/>
          <w:numId w:val="14"/>
        </w:numPr>
        <w:spacing w:after="160"/>
        <w:ind w:left="3960"/>
        <w:contextualSpacing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UU-Well-Policy-Debit/Credit Card Payment Policy CSU3102.5.pdf</w:t>
      </w:r>
    </w:p>
    <w:p w14:paraId="6B3B4B6C" w14:textId="32579F72" w:rsidR="00010A05" w:rsidRPr="00894B06" w:rsidRDefault="00010A05" w:rsidP="00902601">
      <w:pPr>
        <w:numPr>
          <w:ilvl w:val="3"/>
          <w:numId w:val="14"/>
        </w:numPr>
        <w:spacing w:after="160"/>
        <w:ind w:left="3960"/>
        <w:contextualSpacing/>
        <w:rPr>
          <w:rFonts w:asciiTheme="minorHAnsi" w:eastAsia="Calibri" w:hAnsiTheme="minorHAnsi"/>
        </w:rPr>
      </w:pPr>
      <w:r w:rsidRPr="00894B06">
        <w:rPr>
          <w:rFonts w:asciiTheme="minorHAnsi" w:eastAsia="Calibri" w:hAnsiTheme="minorHAnsi"/>
        </w:rPr>
        <w:t>Policy-Debit/Credit Card Payment Policy CSU 3102.5.pdf</w:t>
      </w:r>
    </w:p>
    <w:p w14:paraId="5CC96DB0" w14:textId="77777777" w:rsidR="00010A05" w:rsidRPr="00894B06" w:rsidRDefault="00010A05" w:rsidP="00902601">
      <w:pPr>
        <w:numPr>
          <w:ilvl w:val="3"/>
          <w:numId w:val="14"/>
        </w:numPr>
        <w:spacing w:after="160"/>
        <w:ind w:left="3960"/>
        <w:contextualSpacing/>
        <w:rPr>
          <w:rFonts w:asciiTheme="minorHAnsi" w:eastAsia="Calibri" w:hAnsiTheme="minorHAnsi"/>
        </w:rPr>
      </w:pPr>
      <w:r w:rsidRPr="00894B06">
        <w:rPr>
          <w:rFonts w:asciiTheme="minorHAnsi" w:eastAsia="Calibri" w:hAnsiTheme="minorHAnsi"/>
        </w:rPr>
        <w:t>All Campus-Plan-Incident Response</w:t>
      </w:r>
    </w:p>
    <w:p w14:paraId="3681D1BA" w14:textId="77777777" w:rsidR="00010A05" w:rsidRPr="00894B06" w:rsidRDefault="00010A05" w:rsidP="00902601">
      <w:pPr>
        <w:numPr>
          <w:ilvl w:val="3"/>
          <w:numId w:val="14"/>
        </w:numPr>
        <w:spacing w:after="160"/>
        <w:ind w:left="3960"/>
        <w:contextualSpacing/>
        <w:rPr>
          <w:rFonts w:asciiTheme="minorHAnsi" w:eastAsia="Calibri" w:hAnsiTheme="minorHAnsi"/>
        </w:rPr>
      </w:pPr>
      <w:r w:rsidRPr="00894B06">
        <w:rPr>
          <w:rFonts w:asciiTheme="minorHAnsi" w:eastAsia="Calibri" w:hAnsiTheme="minorHAnsi"/>
        </w:rPr>
        <w:t>All Campus-Policy-Information Technology Security ICSUAM 8045.0.pdf</w:t>
      </w:r>
    </w:p>
    <w:p w14:paraId="17FF2BA7" w14:textId="0848A752" w:rsidR="00010A05" w:rsidRPr="00010A05" w:rsidRDefault="00567679" w:rsidP="00567679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Documentation &gt; Evidence Library</w:t>
      </w:r>
      <w:r w:rsidR="00010A05" w:rsidRPr="00010A05">
        <w:rPr>
          <w:rFonts w:asciiTheme="minorHAnsi" w:eastAsia="Calibri" w:hAnsiTheme="minorHAnsi"/>
          <w:b/>
        </w:rPr>
        <w:t>:</w:t>
      </w:r>
      <w:r w:rsidR="00010A05" w:rsidRPr="00010A05">
        <w:rPr>
          <w:rFonts w:asciiTheme="minorHAnsi" w:eastAsia="Calibri" w:hAnsiTheme="minorHAnsi"/>
        </w:rPr>
        <w:t xml:space="preserve"> Shows list of all </w:t>
      </w:r>
      <w:r>
        <w:rPr>
          <w:rFonts w:asciiTheme="minorHAnsi" w:eastAsia="Calibri" w:hAnsiTheme="minorHAnsi"/>
        </w:rPr>
        <w:t>documents</w:t>
      </w:r>
      <w:r w:rsidR="00010A05" w:rsidRPr="00010A05">
        <w:rPr>
          <w:rFonts w:asciiTheme="minorHAnsi" w:eastAsia="Calibri" w:hAnsiTheme="minorHAnsi"/>
        </w:rPr>
        <w:t xml:space="preserve"> entered through </w:t>
      </w:r>
      <w:r>
        <w:rPr>
          <w:rFonts w:asciiTheme="minorHAnsi" w:eastAsia="Calibri" w:hAnsiTheme="minorHAnsi"/>
        </w:rPr>
        <w:t xml:space="preserve">SAQ </w:t>
      </w:r>
      <w:r w:rsidR="00010A05" w:rsidRPr="00010A05">
        <w:rPr>
          <w:rFonts w:asciiTheme="minorHAnsi" w:eastAsia="Calibri" w:hAnsiTheme="minorHAnsi"/>
        </w:rPr>
        <w:t xml:space="preserve">Environment Section.  </w:t>
      </w:r>
    </w:p>
    <w:p w14:paraId="333A6EA6" w14:textId="77777777" w:rsidR="00010A05" w:rsidRPr="00010A05" w:rsidRDefault="00010A05" w:rsidP="00902601">
      <w:pPr>
        <w:numPr>
          <w:ilvl w:val="1"/>
          <w:numId w:val="14"/>
        </w:numPr>
        <w:spacing w:after="160"/>
        <w:ind w:left="2520"/>
        <w:contextualSpacing/>
        <w:rPr>
          <w:rFonts w:asciiTheme="minorHAnsi" w:eastAsia="Calibri" w:hAnsiTheme="minorHAnsi"/>
        </w:rPr>
      </w:pPr>
      <w:r w:rsidRPr="00010A05">
        <w:rPr>
          <w:rFonts w:asciiTheme="minorHAnsi" w:eastAsia="Calibri" w:hAnsiTheme="minorHAnsi"/>
          <w:b/>
        </w:rPr>
        <w:t>Resources:</w:t>
      </w:r>
      <w:r w:rsidRPr="00010A05">
        <w:rPr>
          <w:rFonts w:asciiTheme="minorHAnsi" w:eastAsia="Calibri" w:hAnsiTheme="minorHAnsi"/>
        </w:rPr>
        <w:t xml:space="preserve"> Shows examples of various types of evidence, as well as an FAQ section.</w:t>
      </w:r>
    </w:p>
    <w:p w14:paraId="63B3ACFF" w14:textId="77777777" w:rsidR="00010A05" w:rsidRPr="00010A05" w:rsidRDefault="00010A05" w:rsidP="00010A05">
      <w:pPr>
        <w:spacing w:after="0"/>
        <w:rPr>
          <w:rFonts w:asciiTheme="minorHAnsi" w:eastAsia="Calibri" w:hAnsiTheme="minorHAnsi" w:cs="Arial"/>
        </w:rPr>
      </w:pPr>
    </w:p>
    <w:p w14:paraId="29FFA460" w14:textId="425BAC31" w:rsidR="008616A1" w:rsidRPr="00A66036" w:rsidRDefault="00492D88" w:rsidP="4B852EC2">
      <w:pPr>
        <w:shd w:val="clear" w:color="auto" w:fill="D9D9D9" w:themeFill="background1" w:themeFillShade="D9"/>
        <w:outlineLvl w:val="0"/>
        <w:rPr>
          <w:b/>
          <w:bCs/>
          <w:sz w:val="24"/>
          <w:szCs w:val="24"/>
        </w:rPr>
      </w:pPr>
      <w:r w:rsidRPr="4B852EC2">
        <w:rPr>
          <w:b/>
          <w:bCs/>
          <w:sz w:val="24"/>
          <w:szCs w:val="24"/>
        </w:rPr>
        <w:t>5.0</w:t>
      </w:r>
      <w:r w:rsidR="52DAFB2D" w:rsidRPr="4B852EC2">
        <w:rPr>
          <w:b/>
          <w:bCs/>
          <w:sz w:val="24"/>
          <w:szCs w:val="24"/>
        </w:rPr>
        <w:t xml:space="preserve"> </w:t>
      </w:r>
      <w:r>
        <w:rPr>
          <w:b/>
          <w:sz w:val="24"/>
        </w:rPr>
        <w:tab/>
      </w:r>
      <w:r w:rsidR="00D20BDB" w:rsidRPr="4B852EC2">
        <w:rPr>
          <w:b/>
          <w:bCs/>
          <w:sz w:val="24"/>
          <w:szCs w:val="24"/>
        </w:rPr>
        <w:t>References</w:t>
      </w:r>
    </w:p>
    <w:p w14:paraId="41FFC306" w14:textId="77777777" w:rsidR="00D20BDB" w:rsidRPr="00D20BDB" w:rsidRDefault="00D20BDB" w:rsidP="00D20BDB">
      <w:pPr>
        <w:spacing w:after="0" w:line="240" w:lineRule="auto"/>
        <w:rPr>
          <w:rFonts w:ascii="Times New Roman" w:hAnsi="Times New Roman" w:cs="Arial"/>
          <w:b/>
          <w:sz w:val="24"/>
          <w:szCs w:val="20"/>
        </w:rPr>
      </w:pPr>
    </w:p>
    <w:p w14:paraId="0BE9A15D" w14:textId="732C49A1" w:rsidR="00D20BDB" w:rsidRPr="00D20BDB" w:rsidRDefault="1862B5CA" w:rsidP="1862B5CA">
      <w:pPr>
        <w:spacing w:after="0"/>
        <w:ind w:left="720"/>
        <w:outlineLvl w:val="0"/>
        <w:rPr>
          <w:rFonts w:asciiTheme="minorHAnsi" w:hAnsiTheme="minorHAnsi" w:cs="Arial"/>
          <w:b/>
          <w:bCs/>
        </w:rPr>
      </w:pPr>
      <w:r w:rsidRPr="1862B5CA">
        <w:rPr>
          <w:rFonts w:asciiTheme="minorHAnsi" w:hAnsiTheme="minorHAnsi" w:cs="Arial"/>
          <w:b/>
          <w:bCs/>
        </w:rPr>
        <w:t xml:space="preserve">CSU Debit/Credit Card Payment Policy – ICSUAM </w:t>
      </w:r>
      <w:r w:rsidRPr="00796C74">
        <w:rPr>
          <w:rFonts w:asciiTheme="minorHAnsi" w:hAnsiTheme="minorHAnsi" w:cs="Arial"/>
          <w:b/>
          <w:bCs/>
        </w:rPr>
        <w:t>6340.00</w:t>
      </w:r>
    </w:p>
    <w:p w14:paraId="5C6AE5B6" w14:textId="77777777" w:rsidR="00D20BDB" w:rsidRPr="00D20BDB" w:rsidRDefault="00D20BDB" w:rsidP="00DD144C">
      <w:pPr>
        <w:spacing w:after="0"/>
        <w:ind w:left="720"/>
        <w:rPr>
          <w:rFonts w:asciiTheme="minorHAnsi" w:hAnsiTheme="minorHAnsi" w:cs="Arial"/>
        </w:rPr>
      </w:pPr>
    </w:p>
    <w:p w14:paraId="0BFB52AF" w14:textId="6D37A567" w:rsidR="00D20BDB" w:rsidRPr="00D20BDB" w:rsidRDefault="00D20BDB" w:rsidP="005E0FFC">
      <w:pPr>
        <w:spacing w:after="0"/>
        <w:ind w:left="720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Sacramento State Credit Card Policy</w:t>
      </w:r>
    </w:p>
    <w:p w14:paraId="439FB5B4" w14:textId="77777777" w:rsidR="00D20BDB" w:rsidRPr="00DD144C" w:rsidRDefault="005467CB" w:rsidP="00DD144C">
      <w:pPr>
        <w:spacing w:after="0"/>
        <w:ind w:left="720"/>
        <w:rPr>
          <w:rFonts w:asciiTheme="minorHAnsi" w:hAnsiTheme="minorHAnsi" w:cs="Arial"/>
          <w:sz w:val="21"/>
        </w:rPr>
      </w:pPr>
      <w:hyperlink r:id="rId13" w:history="1">
        <w:r w:rsidR="00D20BDB" w:rsidRPr="00DD144C">
          <w:rPr>
            <w:rStyle w:val="Hyperlink"/>
            <w:rFonts w:asciiTheme="minorHAnsi" w:hAnsiTheme="minorHAnsi" w:cs="Arial"/>
            <w:sz w:val="21"/>
          </w:rPr>
          <w:t>http://www.csus.edu/umanual/admin/adm-0117.html</w:t>
        </w:r>
      </w:hyperlink>
    </w:p>
    <w:p w14:paraId="610A81B8" w14:textId="77777777" w:rsidR="00D20BDB" w:rsidRPr="00D20BDB" w:rsidRDefault="00D20BDB" w:rsidP="00DD144C">
      <w:pPr>
        <w:spacing w:after="0"/>
        <w:ind w:left="720"/>
        <w:rPr>
          <w:rFonts w:asciiTheme="minorHAnsi" w:hAnsiTheme="minorHAnsi" w:cs="Arial"/>
        </w:rPr>
      </w:pPr>
    </w:p>
    <w:p w14:paraId="2FA75335" w14:textId="190238B9" w:rsidR="00D20BDB" w:rsidRPr="00D20BDB" w:rsidRDefault="00D20BDB" w:rsidP="00DD144C">
      <w:pPr>
        <w:spacing w:after="0"/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Sacramento State </w:t>
      </w:r>
      <w:r w:rsidRPr="00D20BDB">
        <w:rPr>
          <w:rFonts w:asciiTheme="minorHAnsi" w:hAnsiTheme="minorHAnsi" w:cs="Arial"/>
          <w:b/>
        </w:rPr>
        <w:t>Credit Card Acceptance Procedure</w:t>
      </w:r>
      <w:r w:rsidRPr="00D20BD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hyperlink r:id="rId14" w:history="1">
        <w:r w:rsidRPr="00DD144C">
          <w:rPr>
            <w:rStyle w:val="Hyperlink"/>
            <w:rFonts w:asciiTheme="minorHAnsi" w:hAnsiTheme="minorHAnsi" w:cs="Arial"/>
            <w:sz w:val="21"/>
          </w:rPr>
          <w:t>http://csus.edu/aba/bursarsoffice/documents/request_to_accept_credit_cards_procedures_adm_0117.pdf</w:t>
        </w:r>
      </w:hyperlink>
    </w:p>
    <w:p w14:paraId="412FD6D2" w14:textId="77777777" w:rsidR="00D20BDB" w:rsidRPr="00D20BDB" w:rsidRDefault="00D20BDB" w:rsidP="00DD144C">
      <w:pPr>
        <w:spacing w:after="0"/>
        <w:ind w:left="720"/>
        <w:rPr>
          <w:rFonts w:asciiTheme="minorHAnsi" w:hAnsiTheme="minorHAnsi" w:cs="Arial"/>
        </w:rPr>
      </w:pPr>
    </w:p>
    <w:p w14:paraId="63510377" w14:textId="0546DFE3" w:rsidR="00D20BDB" w:rsidRPr="00D20BDB" w:rsidRDefault="00D20BDB" w:rsidP="005E0FFC">
      <w:pPr>
        <w:spacing w:after="0"/>
        <w:ind w:left="720"/>
        <w:outlineLvl w:val="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Sacramento State </w:t>
      </w:r>
      <w:r w:rsidRPr="00D20BDB">
        <w:rPr>
          <w:rFonts w:asciiTheme="minorHAnsi" w:hAnsiTheme="minorHAnsi"/>
          <w:b/>
        </w:rPr>
        <w:t xml:space="preserve">Payment Card </w:t>
      </w:r>
      <w:r>
        <w:rPr>
          <w:rFonts w:asciiTheme="minorHAnsi" w:hAnsiTheme="minorHAnsi"/>
          <w:b/>
        </w:rPr>
        <w:t>Industry Compliance Information</w:t>
      </w:r>
    </w:p>
    <w:p w14:paraId="35FEC984" w14:textId="5407028E" w:rsidR="00D20BDB" w:rsidRPr="00DD144C" w:rsidRDefault="005467CB" w:rsidP="00DD144C">
      <w:pPr>
        <w:spacing w:after="0"/>
        <w:ind w:left="720"/>
        <w:rPr>
          <w:rFonts w:asciiTheme="minorHAnsi" w:hAnsiTheme="minorHAnsi"/>
          <w:sz w:val="21"/>
        </w:rPr>
      </w:pPr>
      <w:hyperlink r:id="rId15" w:history="1">
        <w:r w:rsidR="00D20BDB" w:rsidRPr="00DD144C">
          <w:rPr>
            <w:rStyle w:val="Hyperlink"/>
            <w:rFonts w:asciiTheme="minorHAnsi" w:hAnsiTheme="minorHAnsi"/>
            <w:sz w:val="21"/>
          </w:rPr>
          <w:t>https://csus.service-now.com/service/kb?kb=KB0011402&amp;sysparm_search=PCI&amp;sysparm_category</w:t>
        </w:r>
      </w:hyperlink>
      <w:r w:rsidR="00D20BDB" w:rsidRPr="00DD144C">
        <w:rPr>
          <w:rFonts w:asciiTheme="minorHAnsi" w:hAnsiTheme="minorHAnsi"/>
          <w:sz w:val="21"/>
        </w:rPr>
        <w:t xml:space="preserve"> </w:t>
      </w:r>
    </w:p>
    <w:p w14:paraId="0A85AC44" w14:textId="77777777" w:rsidR="00D20BDB" w:rsidRPr="00D20BDB" w:rsidRDefault="00D20BDB" w:rsidP="00DD144C">
      <w:pPr>
        <w:spacing w:after="0"/>
        <w:ind w:left="720"/>
        <w:rPr>
          <w:rFonts w:asciiTheme="minorHAnsi" w:hAnsiTheme="minorHAnsi"/>
          <w:b/>
        </w:rPr>
      </w:pPr>
    </w:p>
    <w:p w14:paraId="452E61FA" w14:textId="0B07B04E" w:rsidR="00D20BDB" w:rsidRPr="00D20BDB" w:rsidRDefault="00D20BDB" w:rsidP="005E0FFC">
      <w:pPr>
        <w:spacing w:after="0"/>
        <w:ind w:left="720"/>
        <w:outlineLvl w:val="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Sacramento State </w:t>
      </w:r>
      <w:r w:rsidRPr="00D20BDB">
        <w:rPr>
          <w:rFonts w:asciiTheme="minorHAnsi" w:hAnsiTheme="minorHAnsi"/>
          <w:b/>
        </w:rPr>
        <w:t xml:space="preserve">Credit Card Acceptance Templates and </w:t>
      </w:r>
      <w:r>
        <w:rPr>
          <w:rFonts w:asciiTheme="minorHAnsi" w:hAnsiTheme="minorHAnsi"/>
          <w:b/>
        </w:rPr>
        <w:t>Forms</w:t>
      </w:r>
    </w:p>
    <w:p w14:paraId="1F719348" w14:textId="2BF9DB80" w:rsidR="00D20BDB" w:rsidRPr="00DD144C" w:rsidRDefault="005467CB" w:rsidP="00DD144C">
      <w:pPr>
        <w:spacing w:after="0"/>
        <w:ind w:left="720"/>
        <w:rPr>
          <w:rFonts w:asciiTheme="minorHAnsi" w:hAnsiTheme="minorHAnsi"/>
          <w:sz w:val="21"/>
        </w:rPr>
      </w:pPr>
      <w:hyperlink r:id="rId16">
        <w:r w:rsidR="00D20BDB" w:rsidRPr="00DD144C">
          <w:rPr>
            <w:rStyle w:val="Hyperlink"/>
            <w:rFonts w:asciiTheme="minorHAnsi" w:hAnsiTheme="minorHAnsi"/>
            <w:sz w:val="21"/>
          </w:rPr>
          <w:t>https://csus.service-now.com/service/kb?kb=KB0011391&amp;sysparm_search=PCI&amp;sysparm_category</w:t>
        </w:r>
      </w:hyperlink>
    </w:p>
    <w:p w14:paraId="0F4553B9" w14:textId="62F53CFC" w:rsidR="0023127D" w:rsidRPr="00A66036" w:rsidRDefault="0023127D" w:rsidP="45A3AE96">
      <w:pPr>
        <w:spacing w:after="0"/>
        <w:ind w:left="720"/>
        <w:rPr>
          <w:rFonts w:asciiTheme="minorHAnsi" w:eastAsia="Calibri" w:hAnsiTheme="minorHAnsi" w:cstheme="minorBidi"/>
        </w:rPr>
      </w:pPr>
    </w:p>
    <w:p w14:paraId="20267833" w14:textId="66D2DDFB" w:rsidR="45A3AE96" w:rsidRDefault="45A3AE96" w:rsidP="45A3AE96">
      <w:pPr>
        <w:spacing w:after="0"/>
        <w:ind w:left="720"/>
        <w:rPr>
          <w:rFonts w:asciiTheme="minorHAnsi" w:eastAsia="Calibri" w:hAnsiTheme="minorHAnsi" w:cstheme="minorBidi"/>
        </w:rPr>
      </w:pPr>
    </w:p>
    <w:p w14:paraId="2877C287" w14:textId="2A717743" w:rsidR="45A3AE96" w:rsidRDefault="45A3AE96" w:rsidP="45A3AE96">
      <w:pPr>
        <w:spacing w:after="0"/>
        <w:ind w:left="720"/>
        <w:rPr>
          <w:rFonts w:asciiTheme="minorHAnsi" w:eastAsia="Calibri" w:hAnsiTheme="minorHAnsi" w:cstheme="minorBidi"/>
        </w:rPr>
      </w:pPr>
    </w:p>
    <w:p w14:paraId="49CEC412" w14:textId="77777777" w:rsidR="00F467D0" w:rsidRDefault="00F467D0" w:rsidP="00F467D0">
      <w:pPr>
        <w:pStyle w:val="H-Subtitle02Bold"/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 / Approval History </w:t>
      </w:r>
    </w:p>
    <w:tbl>
      <w:tblPr>
        <w:tblW w:w="996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453"/>
        <w:gridCol w:w="4117"/>
        <w:gridCol w:w="1800"/>
      </w:tblGrid>
      <w:tr w:rsidR="00F467D0" w14:paraId="370D3845" w14:textId="77777777" w:rsidTr="008A3720">
        <w:trPr>
          <w:trHeight w:val="54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C1E1" w14:textId="77777777" w:rsidR="00F467D0" w:rsidRDefault="00F467D0" w:rsidP="008A3720">
            <w:pPr>
              <w:pStyle w:val="Table01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Date</w:t>
            </w:r>
          </w:p>
        </w:tc>
        <w:tc>
          <w:tcPr>
            <w:tcW w:w="2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9854" w14:textId="77777777" w:rsidR="00F467D0" w:rsidRDefault="00F467D0" w:rsidP="008A3720">
            <w:pPr>
              <w:pStyle w:val="Table01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Reviewed By </w:t>
            </w:r>
          </w:p>
        </w:tc>
        <w:tc>
          <w:tcPr>
            <w:tcW w:w="4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7BD9" w14:textId="77777777" w:rsidR="00F467D0" w:rsidRDefault="00F467D0" w:rsidP="008A3720">
            <w:pPr>
              <w:pStyle w:val="Table01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Action  (Reviewed, Recommended or Approved)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098C" w14:textId="77777777" w:rsidR="00F467D0" w:rsidRDefault="00F467D0" w:rsidP="008A3720">
            <w:pPr>
              <w:pStyle w:val="Table01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Version</w:t>
            </w:r>
          </w:p>
        </w:tc>
      </w:tr>
      <w:tr w:rsidR="00F467D0" w14:paraId="47A1ACEB" w14:textId="77777777" w:rsidTr="008A3720">
        <w:trPr>
          <w:trHeight w:val="35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8503" w14:textId="77777777" w:rsidR="00F467D0" w:rsidRDefault="00F467D0" w:rsidP="008A3720">
            <w:pPr>
              <w:pStyle w:val="Table02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5/04/2019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84AE" w14:textId="77777777" w:rsidR="00F467D0" w:rsidRDefault="00F467D0" w:rsidP="008A3720">
            <w:pPr>
              <w:pStyle w:val="Table02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 Security Office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D0B7" w14:textId="77777777" w:rsidR="00F467D0" w:rsidRDefault="00F467D0" w:rsidP="008A3720">
            <w:pPr>
              <w:pStyle w:val="Table02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Reviewed and Recommended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DD96" w14:textId="77777777" w:rsidR="00F467D0" w:rsidRDefault="00F467D0" w:rsidP="008A3720">
            <w:pPr>
              <w:pStyle w:val="Table02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V1.0</w:t>
            </w:r>
          </w:p>
        </w:tc>
      </w:tr>
      <w:tr w:rsidR="00F467D0" w14:paraId="3561653D" w14:textId="77777777" w:rsidTr="008A3720">
        <w:trPr>
          <w:trHeight w:val="258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7CA7" w14:textId="77777777" w:rsidR="00F467D0" w:rsidRDefault="00F467D0" w:rsidP="008A3720">
            <w:pPr>
              <w:pStyle w:val="Table02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7/19/2019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DEE0" w14:textId="77777777" w:rsidR="00F467D0" w:rsidRDefault="00F467D0" w:rsidP="008A3720">
            <w:pPr>
              <w:pStyle w:val="Table02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PCI Committee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E06F" w14:textId="77777777" w:rsidR="00F467D0" w:rsidRDefault="00F467D0" w:rsidP="008A3720">
            <w:pPr>
              <w:pStyle w:val="Table02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F0D8" w14:textId="77777777" w:rsidR="00F467D0" w:rsidRDefault="00F467D0" w:rsidP="008A3720">
            <w:pPr>
              <w:pStyle w:val="Table02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V1.1</w:t>
            </w:r>
          </w:p>
        </w:tc>
      </w:tr>
    </w:tbl>
    <w:p w14:paraId="1E21EE4B" w14:textId="7BA8B197" w:rsidR="45A3AE96" w:rsidRDefault="45A3AE96" w:rsidP="45A3AE96">
      <w:pPr>
        <w:spacing w:after="0"/>
        <w:ind w:left="720"/>
        <w:rPr>
          <w:rFonts w:asciiTheme="minorHAnsi" w:eastAsia="Calibri" w:hAnsiTheme="minorHAnsi" w:cstheme="minorBidi"/>
        </w:rPr>
      </w:pPr>
    </w:p>
    <w:sectPr w:rsidR="45A3AE96" w:rsidSect="00A660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47E3" w14:textId="77777777" w:rsidR="00B03197" w:rsidRDefault="00B03197" w:rsidP="00CC190E">
      <w:pPr>
        <w:spacing w:after="0" w:line="240" w:lineRule="auto"/>
      </w:pPr>
      <w:r>
        <w:separator/>
      </w:r>
    </w:p>
  </w:endnote>
  <w:endnote w:type="continuationSeparator" w:id="0">
    <w:p w14:paraId="35BF6363" w14:textId="77777777" w:rsidR="00B03197" w:rsidRDefault="00B03197" w:rsidP="00CC190E">
      <w:pPr>
        <w:spacing w:after="0" w:line="240" w:lineRule="auto"/>
      </w:pPr>
      <w:r>
        <w:continuationSeparator/>
      </w:r>
    </w:p>
  </w:endnote>
  <w:endnote w:type="continuationNotice" w:id="1">
    <w:p w14:paraId="43CFE7FF" w14:textId="77777777" w:rsidR="00F23B7B" w:rsidRDefault="00F23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062504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6CF425" w14:textId="3A632422" w:rsidR="00B42EFF" w:rsidRDefault="00B42EFF" w:rsidP="006B24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656629" w14:textId="77777777" w:rsidR="00B42EFF" w:rsidRDefault="00B42EFF" w:rsidP="00B42E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785266"/>
      <w:docPartObj>
        <w:docPartGallery w:val="Page Numbers (Bottom of Page)"/>
        <w:docPartUnique/>
      </w:docPartObj>
    </w:sdtPr>
    <w:sdtEndPr>
      <w:rPr>
        <w:rStyle w:val="PageNumber"/>
        <w:sz w:val="16"/>
        <w:szCs w:val="20"/>
      </w:rPr>
    </w:sdtEndPr>
    <w:sdtContent>
      <w:p w14:paraId="7035B269" w14:textId="057EA0B9" w:rsidR="00B42EFF" w:rsidRPr="00B42EFF" w:rsidRDefault="00B42EFF" w:rsidP="006B244A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B42EFF">
          <w:rPr>
            <w:rStyle w:val="PageNumber"/>
            <w:sz w:val="20"/>
          </w:rPr>
          <w:fldChar w:fldCharType="begin"/>
        </w:r>
        <w:r w:rsidRPr="00B42EFF">
          <w:rPr>
            <w:rStyle w:val="PageNumber"/>
            <w:sz w:val="20"/>
          </w:rPr>
          <w:instrText xml:space="preserve"> PAGE </w:instrText>
        </w:r>
        <w:r w:rsidRPr="00B42EFF">
          <w:rPr>
            <w:rStyle w:val="PageNumber"/>
            <w:sz w:val="20"/>
          </w:rPr>
          <w:fldChar w:fldCharType="separate"/>
        </w:r>
        <w:r w:rsidR="005467CB">
          <w:rPr>
            <w:rStyle w:val="PageNumber"/>
            <w:noProof/>
            <w:sz w:val="20"/>
          </w:rPr>
          <w:t>1</w:t>
        </w:r>
        <w:r w:rsidRPr="00B42EFF">
          <w:rPr>
            <w:rStyle w:val="PageNumber"/>
            <w:sz w:val="20"/>
          </w:rPr>
          <w:fldChar w:fldCharType="end"/>
        </w:r>
      </w:p>
    </w:sdtContent>
  </w:sdt>
  <w:p w14:paraId="37C5DB77" w14:textId="77777777" w:rsidR="00B42EFF" w:rsidRPr="00B42EFF" w:rsidRDefault="00B42EFF" w:rsidP="00B42EFF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3733" w14:textId="77777777" w:rsidR="00F444D3" w:rsidRDefault="00F44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C377" w14:textId="77777777" w:rsidR="00B03197" w:rsidRDefault="00B03197" w:rsidP="00CC190E">
      <w:pPr>
        <w:spacing w:after="0" w:line="240" w:lineRule="auto"/>
      </w:pPr>
      <w:r>
        <w:separator/>
      </w:r>
    </w:p>
  </w:footnote>
  <w:footnote w:type="continuationSeparator" w:id="0">
    <w:p w14:paraId="14F347F1" w14:textId="77777777" w:rsidR="00B03197" w:rsidRDefault="00B03197" w:rsidP="00CC190E">
      <w:pPr>
        <w:spacing w:after="0" w:line="240" w:lineRule="auto"/>
      </w:pPr>
      <w:r>
        <w:continuationSeparator/>
      </w:r>
    </w:p>
  </w:footnote>
  <w:footnote w:type="continuationNotice" w:id="1">
    <w:p w14:paraId="4B02D4A8" w14:textId="77777777" w:rsidR="00F23B7B" w:rsidRDefault="00F23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552A" w14:textId="77777777" w:rsidR="00F444D3" w:rsidRDefault="00F44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F3F4" w14:textId="3F808A46" w:rsidR="00D906B5" w:rsidRPr="00751BFD" w:rsidRDefault="00D906B5" w:rsidP="00B50168">
    <w:pPr>
      <w:spacing w:after="0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6C716" w14:textId="77777777" w:rsidR="00F444D3" w:rsidRDefault="00F44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70A1"/>
    <w:multiLevelType w:val="hybridMultilevel"/>
    <w:tmpl w:val="8030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A4E"/>
    <w:multiLevelType w:val="hybridMultilevel"/>
    <w:tmpl w:val="D2186E6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4016DE1"/>
    <w:multiLevelType w:val="hybridMultilevel"/>
    <w:tmpl w:val="51B02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78C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131D"/>
    <w:multiLevelType w:val="hybridMultilevel"/>
    <w:tmpl w:val="C1C05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C28EA"/>
    <w:multiLevelType w:val="hybridMultilevel"/>
    <w:tmpl w:val="543A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F85"/>
    <w:multiLevelType w:val="hybridMultilevel"/>
    <w:tmpl w:val="E31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96874"/>
    <w:multiLevelType w:val="hybridMultilevel"/>
    <w:tmpl w:val="F938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4916"/>
    <w:multiLevelType w:val="hybridMultilevel"/>
    <w:tmpl w:val="B51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78C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E5F"/>
    <w:multiLevelType w:val="hybridMultilevel"/>
    <w:tmpl w:val="358A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44BB6"/>
    <w:multiLevelType w:val="hybridMultilevel"/>
    <w:tmpl w:val="7134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D6E41"/>
    <w:multiLevelType w:val="hybridMultilevel"/>
    <w:tmpl w:val="0CCC303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5AF8182C"/>
    <w:multiLevelType w:val="multilevel"/>
    <w:tmpl w:val="D79028C8"/>
    <w:lvl w:ilvl="0">
      <w:start w:val="1"/>
      <w:numFmt w:val="decimal"/>
      <w:lvlText w:val="%1.0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05B4F5A"/>
    <w:multiLevelType w:val="hybridMultilevel"/>
    <w:tmpl w:val="051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62F08"/>
    <w:multiLevelType w:val="hybridMultilevel"/>
    <w:tmpl w:val="F0F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F7709"/>
    <w:multiLevelType w:val="hybridMultilevel"/>
    <w:tmpl w:val="D078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78C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4E1"/>
    <w:multiLevelType w:val="hybridMultilevel"/>
    <w:tmpl w:val="A8F89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924FBD"/>
    <w:multiLevelType w:val="hybridMultilevel"/>
    <w:tmpl w:val="65B0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6585E"/>
    <w:multiLevelType w:val="hybridMultilevel"/>
    <w:tmpl w:val="C8AC18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14"/>
  </w:num>
  <w:num w:numId="17">
    <w:abstractNumId w:val="2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B8"/>
    <w:rsid w:val="00002480"/>
    <w:rsid w:val="000028AE"/>
    <w:rsid w:val="00003E38"/>
    <w:rsid w:val="0000560F"/>
    <w:rsid w:val="00005E67"/>
    <w:rsid w:val="00006360"/>
    <w:rsid w:val="00010A05"/>
    <w:rsid w:val="00011B50"/>
    <w:rsid w:val="00011E26"/>
    <w:rsid w:val="000128D9"/>
    <w:rsid w:val="0001653C"/>
    <w:rsid w:val="00017086"/>
    <w:rsid w:val="00022D89"/>
    <w:rsid w:val="00023578"/>
    <w:rsid w:val="000244FF"/>
    <w:rsid w:val="00024958"/>
    <w:rsid w:val="00025D02"/>
    <w:rsid w:val="00043A93"/>
    <w:rsid w:val="0004558B"/>
    <w:rsid w:val="00050298"/>
    <w:rsid w:val="00055C33"/>
    <w:rsid w:val="00061E89"/>
    <w:rsid w:val="00066004"/>
    <w:rsid w:val="00067438"/>
    <w:rsid w:val="00070BC5"/>
    <w:rsid w:val="00076F83"/>
    <w:rsid w:val="00080081"/>
    <w:rsid w:val="0008332D"/>
    <w:rsid w:val="00083CB8"/>
    <w:rsid w:val="00084BAB"/>
    <w:rsid w:val="0008710D"/>
    <w:rsid w:val="00092167"/>
    <w:rsid w:val="00097243"/>
    <w:rsid w:val="000A30D3"/>
    <w:rsid w:val="000A5026"/>
    <w:rsid w:val="000A6565"/>
    <w:rsid w:val="000B40FF"/>
    <w:rsid w:val="000B74E0"/>
    <w:rsid w:val="000B7756"/>
    <w:rsid w:val="000C0AC5"/>
    <w:rsid w:val="000C4664"/>
    <w:rsid w:val="000D0B57"/>
    <w:rsid w:val="000D0BCB"/>
    <w:rsid w:val="000D0D9E"/>
    <w:rsid w:val="000D3755"/>
    <w:rsid w:val="000D6111"/>
    <w:rsid w:val="000E3FFC"/>
    <w:rsid w:val="000F1B91"/>
    <w:rsid w:val="0010069E"/>
    <w:rsid w:val="0010205F"/>
    <w:rsid w:val="00105D42"/>
    <w:rsid w:val="00106B7E"/>
    <w:rsid w:val="0011079B"/>
    <w:rsid w:val="0011301E"/>
    <w:rsid w:val="001231D8"/>
    <w:rsid w:val="00123458"/>
    <w:rsid w:val="00134A97"/>
    <w:rsid w:val="00134B03"/>
    <w:rsid w:val="00142419"/>
    <w:rsid w:val="001542EA"/>
    <w:rsid w:val="001636B3"/>
    <w:rsid w:val="001713B1"/>
    <w:rsid w:val="00171E30"/>
    <w:rsid w:val="00175DB5"/>
    <w:rsid w:val="00176513"/>
    <w:rsid w:val="00176E5A"/>
    <w:rsid w:val="0017789F"/>
    <w:rsid w:val="00177E7F"/>
    <w:rsid w:val="00184BE3"/>
    <w:rsid w:val="00186C7D"/>
    <w:rsid w:val="00194535"/>
    <w:rsid w:val="001A2806"/>
    <w:rsid w:val="001A3982"/>
    <w:rsid w:val="001B084D"/>
    <w:rsid w:val="001B36B2"/>
    <w:rsid w:val="001C1BB8"/>
    <w:rsid w:val="001C3A1B"/>
    <w:rsid w:val="001C7B1A"/>
    <w:rsid w:val="001D1E80"/>
    <w:rsid w:val="001D6B89"/>
    <w:rsid w:val="001E4787"/>
    <w:rsid w:val="001E5657"/>
    <w:rsid w:val="001F0BDC"/>
    <w:rsid w:val="001F2DDD"/>
    <w:rsid w:val="001F4438"/>
    <w:rsid w:val="00210CEB"/>
    <w:rsid w:val="00214A65"/>
    <w:rsid w:val="002166A4"/>
    <w:rsid w:val="00216D67"/>
    <w:rsid w:val="002216C9"/>
    <w:rsid w:val="00222C00"/>
    <w:rsid w:val="002263AB"/>
    <w:rsid w:val="002268EB"/>
    <w:rsid w:val="0023127D"/>
    <w:rsid w:val="00237EDA"/>
    <w:rsid w:val="002403FB"/>
    <w:rsid w:val="00240C63"/>
    <w:rsid w:val="00240F74"/>
    <w:rsid w:val="002522FC"/>
    <w:rsid w:val="00253297"/>
    <w:rsid w:val="002550AB"/>
    <w:rsid w:val="0026086A"/>
    <w:rsid w:val="00260C8C"/>
    <w:rsid w:val="0026148E"/>
    <w:rsid w:val="00265BC2"/>
    <w:rsid w:val="00266E57"/>
    <w:rsid w:val="00274589"/>
    <w:rsid w:val="002770AA"/>
    <w:rsid w:val="00282FF8"/>
    <w:rsid w:val="00285689"/>
    <w:rsid w:val="00285DC6"/>
    <w:rsid w:val="00290973"/>
    <w:rsid w:val="00291E46"/>
    <w:rsid w:val="0029283C"/>
    <w:rsid w:val="00294436"/>
    <w:rsid w:val="00296D27"/>
    <w:rsid w:val="002A38A8"/>
    <w:rsid w:val="002A3E2E"/>
    <w:rsid w:val="002A5601"/>
    <w:rsid w:val="002B1CA0"/>
    <w:rsid w:val="002B42B2"/>
    <w:rsid w:val="002B6B22"/>
    <w:rsid w:val="002C640F"/>
    <w:rsid w:val="002D2EE5"/>
    <w:rsid w:val="002D7EEA"/>
    <w:rsid w:val="002E1C1D"/>
    <w:rsid w:val="002E419A"/>
    <w:rsid w:val="002F0D7A"/>
    <w:rsid w:val="002F138B"/>
    <w:rsid w:val="002F40A2"/>
    <w:rsid w:val="002F4FD9"/>
    <w:rsid w:val="002F5C75"/>
    <w:rsid w:val="002F5FA6"/>
    <w:rsid w:val="002F73E6"/>
    <w:rsid w:val="003074A1"/>
    <w:rsid w:val="00312C6B"/>
    <w:rsid w:val="00316924"/>
    <w:rsid w:val="00326357"/>
    <w:rsid w:val="00327D69"/>
    <w:rsid w:val="00327EB1"/>
    <w:rsid w:val="003344F9"/>
    <w:rsid w:val="00337ECE"/>
    <w:rsid w:val="00340992"/>
    <w:rsid w:val="00343855"/>
    <w:rsid w:val="00344B2F"/>
    <w:rsid w:val="0035363E"/>
    <w:rsid w:val="003601AF"/>
    <w:rsid w:val="00360956"/>
    <w:rsid w:val="003670B6"/>
    <w:rsid w:val="00371090"/>
    <w:rsid w:val="00377413"/>
    <w:rsid w:val="003856B5"/>
    <w:rsid w:val="00391084"/>
    <w:rsid w:val="003947B0"/>
    <w:rsid w:val="00395F53"/>
    <w:rsid w:val="003A00B1"/>
    <w:rsid w:val="003A2577"/>
    <w:rsid w:val="003A7028"/>
    <w:rsid w:val="003B03CA"/>
    <w:rsid w:val="003B4B85"/>
    <w:rsid w:val="003B5722"/>
    <w:rsid w:val="003B7A28"/>
    <w:rsid w:val="003C0986"/>
    <w:rsid w:val="003C24DF"/>
    <w:rsid w:val="003C6C75"/>
    <w:rsid w:val="003C73D6"/>
    <w:rsid w:val="003D00DC"/>
    <w:rsid w:val="003D1B13"/>
    <w:rsid w:val="003D2B3C"/>
    <w:rsid w:val="003D31C2"/>
    <w:rsid w:val="003D3677"/>
    <w:rsid w:val="003D77B3"/>
    <w:rsid w:val="003E3C97"/>
    <w:rsid w:val="003E5B66"/>
    <w:rsid w:val="003E63CA"/>
    <w:rsid w:val="003F7D50"/>
    <w:rsid w:val="00403A88"/>
    <w:rsid w:val="00404128"/>
    <w:rsid w:val="00404ECB"/>
    <w:rsid w:val="00405E55"/>
    <w:rsid w:val="004203A3"/>
    <w:rsid w:val="004339A3"/>
    <w:rsid w:val="00447527"/>
    <w:rsid w:val="0044772C"/>
    <w:rsid w:val="00450F6B"/>
    <w:rsid w:val="00451119"/>
    <w:rsid w:val="00456C13"/>
    <w:rsid w:val="00472588"/>
    <w:rsid w:val="00480A02"/>
    <w:rsid w:val="00490A63"/>
    <w:rsid w:val="00491C06"/>
    <w:rsid w:val="00492D88"/>
    <w:rsid w:val="004A3573"/>
    <w:rsid w:val="004B24F2"/>
    <w:rsid w:val="004B5AE6"/>
    <w:rsid w:val="004B6E58"/>
    <w:rsid w:val="004C2C86"/>
    <w:rsid w:val="004C3B58"/>
    <w:rsid w:val="004C577E"/>
    <w:rsid w:val="004D6181"/>
    <w:rsid w:val="004F3825"/>
    <w:rsid w:val="004F3B76"/>
    <w:rsid w:val="004F4196"/>
    <w:rsid w:val="004F6C4E"/>
    <w:rsid w:val="00502CB1"/>
    <w:rsid w:val="005040B4"/>
    <w:rsid w:val="00517416"/>
    <w:rsid w:val="005206DC"/>
    <w:rsid w:val="00524DAC"/>
    <w:rsid w:val="0052644F"/>
    <w:rsid w:val="0052690C"/>
    <w:rsid w:val="00530EA1"/>
    <w:rsid w:val="00530FA0"/>
    <w:rsid w:val="00531841"/>
    <w:rsid w:val="0053206E"/>
    <w:rsid w:val="00537F9F"/>
    <w:rsid w:val="00541111"/>
    <w:rsid w:val="005419EB"/>
    <w:rsid w:val="00544B5C"/>
    <w:rsid w:val="00544CF9"/>
    <w:rsid w:val="005467CB"/>
    <w:rsid w:val="00546E4C"/>
    <w:rsid w:val="00552C87"/>
    <w:rsid w:val="0055630A"/>
    <w:rsid w:val="00557B89"/>
    <w:rsid w:val="00562761"/>
    <w:rsid w:val="00562868"/>
    <w:rsid w:val="005650CB"/>
    <w:rsid w:val="005672A1"/>
    <w:rsid w:val="00567679"/>
    <w:rsid w:val="0057030D"/>
    <w:rsid w:val="00582A6E"/>
    <w:rsid w:val="0059666D"/>
    <w:rsid w:val="005A3256"/>
    <w:rsid w:val="005A3286"/>
    <w:rsid w:val="005A6CF9"/>
    <w:rsid w:val="005B2273"/>
    <w:rsid w:val="005C2FDC"/>
    <w:rsid w:val="005C7DC3"/>
    <w:rsid w:val="005D2C6C"/>
    <w:rsid w:val="005D33AA"/>
    <w:rsid w:val="005E0FFC"/>
    <w:rsid w:val="005E4323"/>
    <w:rsid w:val="005E7375"/>
    <w:rsid w:val="005F4762"/>
    <w:rsid w:val="005F5814"/>
    <w:rsid w:val="005F6683"/>
    <w:rsid w:val="00602596"/>
    <w:rsid w:val="00605F05"/>
    <w:rsid w:val="00606661"/>
    <w:rsid w:val="00607A8A"/>
    <w:rsid w:val="0061029D"/>
    <w:rsid w:val="0061094B"/>
    <w:rsid w:val="00611608"/>
    <w:rsid w:val="006129B5"/>
    <w:rsid w:val="00613AB5"/>
    <w:rsid w:val="00622A62"/>
    <w:rsid w:val="00622BC9"/>
    <w:rsid w:val="00627715"/>
    <w:rsid w:val="006333D1"/>
    <w:rsid w:val="006334C3"/>
    <w:rsid w:val="00637A30"/>
    <w:rsid w:val="00643D48"/>
    <w:rsid w:val="00644D65"/>
    <w:rsid w:val="006465B5"/>
    <w:rsid w:val="00656E68"/>
    <w:rsid w:val="0066086C"/>
    <w:rsid w:val="00662505"/>
    <w:rsid w:val="006630F7"/>
    <w:rsid w:val="00675DB5"/>
    <w:rsid w:val="0067689C"/>
    <w:rsid w:val="00680561"/>
    <w:rsid w:val="00680716"/>
    <w:rsid w:val="00683D0F"/>
    <w:rsid w:val="0069153E"/>
    <w:rsid w:val="006919F4"/>
    <w:rsid w:val="0069325F"/>
    <w:rsid w:val="006A3ABD"/>
    <w:rsid w:val="006B348A"/>
    <w:rsid w:val="006D16D1"/>
    <w:rsid w:val="006D43FF"/>
    <w:rsid w:val="006D5AFE"/>
    <w:rsid w:val="006D5C89"/>
    <w:rsid w:val="006E03EB"/>
    <w:rsid w:val="006E1C71"/>
    <w:rsid w:val="006E4B55"/>
    <w:rsid w:val="006F0C1F"/>
    <w:rsid w:val="006F72FD"/>
    <w:rsid w:val="00701235"/>
    <w:rsid w:val="0071449C"/>
    <w:rsid w:val="00716418"/>
    <w:rsid w:val="007213AE"/>
    <w:rsid w:val="00722789"/>
    <w:rsid w:val="007237B1"/>
    <w:rsid w:val="00724587"/>
    <w:rsid w:val="00726A85"/>
    <w:rsid w:val="0072780E"/>
    <w:rsid w:val="00733116"/>
    <w:rsid w:val="007404A2"/>
    <w:rsid w:val="00741AFD"/>
    <w:rsid w:val="00741B25"/>
    <w:rsid w:val="00741DB6"/>
    <w:rsid w:val="00746876"/>
    <w:rsid w:val="0074791F"/>
    <w:rsid w:val="007510AC"/>
    <w:rsid w:val="00751BFD"/>
    <w:rsid w:val="00761053"/>
    <w:rsid w:val="00763EF0"/>
    <w:rsid w:val="00764767"/>
    <w:rsid w:val="00772F3E"/>
    <w:rsid w:val="0077598B"/>
    <w:rsid w:val="007823C0"/>
    <w:rsid w:val="00784C23"/>
    <w:rsid w:val="00784D4E"/>
    <w:rsid w:val="007851CB"/>
    <w:rsid w:val="00790D01"/>
    <w:rsid w:val="00791228"/>
    <w:rsid w:val="0079534C"/>
    <w:rsid w:val="00796C74"/>
    <w:rsid w:val="007A0793"/>
    <w:rsid w:val="007B7BDF"/>
    <w:rsid w:val="007C3570"/>
    <w:rsid w:val="007D136D"/>
    <w:rsid w:val="007D2029"/>
    <w:rsid w:val="007E1DA5"/>
    <w:rsid w:val="007E2483"/>
    <w:rsid w:val="007E2E19"/>
    <w:rsid w:val="007E75A9"/>
    <w:rsid w:val="007F208E"/>
    <w:rsid w:val="007F24B6"/>
    <w:rsid w:val="007F2DF5"/>
    <w:rsid w:val="007F4BE4"/>
    <w:rsid w:val="008035FD"/>
    <w:rsid w:val="008039BF"/>
    <w:rsid w:val="00804439"/>
    <w:rsid w:val="0080694D"/>
    <w:rsid w:val="00812326"/>
    <w:rsid w:val="00815391"/>
    <w:rsid w:val="00826D97"/>
    <w:rsid w:val="00827839"/>
    <w:rsid w:val="00840000"/>
    <w:rsid w:val="00841170"/>
    <w:rsid w:val="00842F75"/>
    <w:rsid w:val="00853A2E"/>
    <w:rsid w:val="008610F6"/>
    <w:rsid w:val="008616A1"/>
    <w:rsid w:val="00862155"/>
    <w:rsid w:val="00863482"/>
    <w:rsid w:val="0086658D"/>
    <w:rsid w:val="00867167"/>
    <w:rsid w:val="008756DE"/>
    <w:rsid w:val="008850B7"/>
    <w:rsid w:val="00886655"/>
    <w:rsid w:val="0088764C"/>
    <w:rsid w:val="008878C5"/>
    <w:rsid w:val="008917BE"/>
    <w:rsid w:val="00894B06"/>
    <w:rsid w:val="008967EA"/>
    <w:rsid w:val="008A4A77"/>
    <w:rsid w:val="008A7C88"/>
    <w:rsid w:val="008B2741"/>
    <w:rsid w:val="008C3F5D"/>
    <w:rsid w:val="008C7667"/>
    <w:rsid w:val="008D167C"/>
    <w:rsid w:val="008D22D7"/>
    <w:rsid w:val="008D6BB8"/>
    <w:rsid w:val="008D79EF"/>
    <w:rsid w:val="008E32BC"/>
    <w:rsid w:val="008E428C"/>
    <w:rsid w:val="008E4995"/>
    <w:rsid w:val="008E5E2B"/>
    <w:rsid w:val="008E786B"/>
    <w:rsid w:val="008F2811"/>
    <w:rsid w:val="00900E07"/>
    <w:rsid w:val="00902601"/>
    <w:rsid w:val="009028D8"/>
    <w:rsid w:val="0090455E"/>
    <w:rsid w:val="00906289"/>
    <w:rsid w:val="00907137"/>
    <w:rsid w:val="0090735C"/>
    <w:rsid w:val="00910998"/>
    <w:rsid w:val="00917953"/>
    <w:rsid w:val="00926DA9"/>
    <w:rsid w:val="009375AB"/>
    <w:rsid w:val="00941392"/>
    <w:rsid w:val="00941ABC"/>
    <w:rsid w:val="00944AB7"/>
    <w:rsid w:val="009456F3"/>
    <w:rsid w:val="009468BE"/>
    <w:rsid w:val="0095392A"/>
    <w:rsid w:val="00975794"/>
    <w:rsid w:val="009772FD"/>
    <w:rsid w:val="009839BC"/>
    <w:rsid w:val="0098620F"/>
    <w:rsid w:val="0098623C"/>
    <w:rsid w:val="009946D3"/>
    <w:rsid w:val="009A4149"/>
    <w:rsid w:val="009A76B3"/>
    <w:rsid w:val="009B653C"/>
    <w:rsid w:val="009B71CD"/>
    <w:rsid w:val="009C252E"/>
    <w:rsid w:val="009C4169"/>
    <w:rsid w:val="009C4BE1"/>
    <w:rsid w:val="009C650D"/>
    <w:rsid w:val="009C7DFD"/>
    <w:rsid w:val="009D179F"/>
    <w:rsid w:val="009D444D"/>
    <w:rsid w:val="009E636F"/>
    <w:rsid w:val="009F047B"/>
    <w:rsid w:val="009F0E96"/>
    <w:rsid w:val="009F4579"/>
    <w:rsid w:val="009F4D1C"/>
    <w:rsid w:val="009F69FA"/>
    <w:rsid w:val="009F75F5"/>
    <w:rsid w:val="00A02C69"/>
    <w:rsid w:val="00A1113E"/>
    <w:rsid w:val="00A12DF5"/>
    <w:rsid w:val="00A16CCC"/>
    <w:rsid w:val="00A16E8D"/>
    <w:rsid w:val="00A30238"/>
    <w:rsid w:val="00A44C19"/>
    <w:rsid w:val="00A47EA5"/>
    <w:rsid w:val="00A47FDE"/>
    <w:rsid w:val="00A55AF4"/>
    <w:rsid w:val="00A55EBC"/>
    <w:rsid w:val="00A61B41"/>
    <w:rsid w:val="00A66036"/>
    <w:rsid w:val="00A66118"/>
    <w:rsid w:val="00A67928"/>
    <w:rsid w:val="00A76C9B"/>
    <w:rsid w:val="00A80904"/>
    <w:rsid w:val="00A9089B"/>
    <w:rsid w:val="00A916D7"/>
    <w:rsid w:val="00A93A3E"/>
    <w:rsid w:val="00A94174"/>
    <w:rsid w:val="00AA023B"/>
    <w:rsid w:val="00AA1654"/>
    <w:rsid w:val="00AA165C"/>
    <w:rsid w:val="00AA2698"/>
    <w:rsid w:val="00AA2846"/>
    <w:rsid w:val="00AB117B"/>
    <w:rsid w:val="00AB1BA2"/>
    <w:rsid w:val="00AB6663"/>
    <w:rsid w:val="00AC17FE"/>
    <w:rsid w:val="00AC6EAC"/>
    <w:rsid w:val="00AD058C"/>
    <w:rsid w:val="00AD2962"/>
    <w:rsid w:val="00AD4941"/>
    <w:rsid w:val="00AD52A1"/>
    <w:rsid w:val="00AE3031"/>
    <w:rsid w:val="00AF31C2"/>
    <w:rsid w:val="00AF79F3"/>
    <w:rsid w:val="00B03197"/>
    <w:rsid w:val="00B10913"/>
    <w:rsid w:val="00B22773"/>
    <w:rsid w:val="00B22A83"/>
    <w:rsid w:val="00B25681"/>
    <w:rsid w:val="00B25D3E"/>
    <w:rsid w:val="00B2616E"/>
    <w:rsid w:val="00B27A5F"/>
    <w:rsid w:val="00B306A7"/>
    <w:rsid w:val="00B31ADE"/>
    <w:rsid w:val="00B34D5B"/>
    <w:rsid w:val="00B372AC"/>
    <w:rsid w:val="00B42EFF"/>
    <w:rsid w:val="00B44C17"/>
    <w:rsid w:val="00B50168"/>
    <w:rsid w:val="00B74B3B"/>
    <w:rsid w:val="00B81A85"/>
    <w:rsid w:val="00B921DE"/>
    <w:rsid w:val="00B92822"/>
    <w:rsid w:val="00B97D7F"/>
    <w:rsid w:val="00BA578F"/>
    <w:rsid w:val="00BC11E0"/>
    <w:rsid w:val="00BC19AB"/>
    <w:rsid w:val="00BC3B3E"/>
    <w:rsid w:val="00BC3C00"/>
    <w:rsid w:val="00BC5309"/>
    <w:rsid w:val="00BC5A7F"/>
    <w:rsid w:val="00BD3759"/>
    <w:rsid w:val="00BD3F83"/>
    <w:rsid w:val="00BE1B9D"/>
    <w:rsid w:val="00BE1EFC"/>
    <w:rsid w:val="00BE68C0"/>
    <w:rsid w:val="00BF2315"/>
    <w:rsid w:val="00BF42E2"/>
    <w:rsid w:val="00BF485F"/>
    <w:rsid w:val="00BF511E"/>
    <w:rsid w:val="00BF5398"/>
    <w:rsid w:val="00BF6595"/>
    <w:rsid w:val="00C06591"/>
    <w:rsid w:val="00C2145B"/>
    <w:rsid w:val="00C21F34"/>
    <w:rsid w:val="00C25FD1"/>
    <w:rsid w:val="00C26B80"/>
    <w:rsid w:val="00C27C95"/>
    <w:rsid w:val="00C31465"/>
    <w:rsid w:val="00C31677"/>
    <w:rsid w:val="00C32819"/>
    <w:rsid w:val="00C434D6"/>
    <w:rsid w:val="00C44B0C"/>
    <w:rsid w:val="00C4605C"/>
    <w:rsid w:val="00C46AFD"/>
    <w:rsid w:val="00C46B83"/>
    <w:rsid w:val="00C55B58"/>
    <w:rsid w:val="00C609C3"/>
    <w:rsid w:val="00C61A1D"/>
    <w:rsid w:val="00C6334A"/>
    <w:rsid w:val="00C678F7"/>
    <w:rsid w:val="00C70E6C"/>
    <w:rsid w:val="00C7237D"/>
    <w:rsid w:val="00C749ED"/>
    <w:rsid w:val="00C75DAD"/>
    <w:rsid w:val="00C83A87"/>
    <w:rsid w:val="00C8466F"/>
    <w:rsid w:val="00C86EE5"/>
    <w:rsid w:val="00C87691"/>
    <w:rsid w:val="00C92E51"/>
    <w:rsid w:val="00C95E86"/>
    <w:rsid w:val="00C96070"/>
    <w:rsid w:val="00CA2E29"/>
    <w:rsid w:val="00CA37B1"/>
    <w:rsid w:val="00CA3F96"/>
    <w:rsid w:val="00CA516A"/>
    <w:rsid w:val="00CB24F3"/>
    <w:rsid w:val="00CC0247"/>
    <w:rsid w:val="00CC190E"/>
    <w:rsid w:val="00CC6F1C"/>
    <w:rsid w:val="00CC7354"/>
    <w:rsid w:val="00CD28FC"/>
    <w:rsid w:val="00CD39EB"/>
    <w:rsid w:val="00CD4BB6"/>
    <w:rsid w:val="00CE1BBA"/>
    <w:rsid w:val="00CE214A"/>
    <w:rsid w:val="00CE3637"/>
    <w:rsid w:val="00CE3F3C"/>
    <w:rsid w:val="00CE7A79"/>
    <w:rsid w:val="00CF340D"/>
    <w:rsid w:val="00CF6D01"/>
    <w:rsid w:val="00CF7102"/>
    <w:rsid w:val="00D106F6"/>
    <w:rsid w:val="00D16401"/>
    <w:rsid w:val="00D16B61"/>
    <w:rsid w:val="00D204FD"/>
    <w:rsid w:val="00D20BDB"/>
    <w:rsid w:val="00D224ED"/>
    <w:rsid w:val="00D278A9"/>
    <w:rsid w:val="00D320A8"/>
    <w:rsid w:val="00D3465E"/>
    <w:rsid w:val="00D34B76"/>
    <w:rsid w:val="00D36AAA"/>
    <w:rsid w:val="00D37B47"/>
    <w:rsid w:val="00D4224A"/>
    <w:rsid w:val="00D536B1"/>
    <w:rsid w:val="00D54F1B"/>
    <w:rsid w:val="00D5639C"/>
    <w:rsid w:val="00D655A8"/>
    <w:rsid w:val="00D71AE2"/>
    <w:rsid w:val="00D74FEE"/>
    <w:rsid w:val="00D7513E"/>
    <w:rsid w:val="00D76672"/>
    <w:rsid w:val="00D82331"/>
    <w:rsid w:val="00D83C08"/>
    <w:rsid w:val="00D906B5"/>
    <w:rsid w:val="00D9085A"/>
    <w:rsid w:val="00DA387D"/>
    <w:rsid w:val="00DB62F3"/>
    <w:rsid w:val="00DC3CDE"/>
    <w:rsid w:val="00DC7403"/>
    <w:rsid w:val="00DD144C"/>
    <w:rsid w:val="00DD6F50"/>
    <w:rsid w:val="00DD72AE"/>
    <w:rsid w:val="00DD73DA"/>
    <w:rsid w:val="00DE1414"/>
    <w:rsid w:val="00DE29D0"/>
    <w:rsid w:val="00DE29ED"/>
    <w:rsid w:val="00DF0661"/>
    <w:rsid w:val="00DF257D"/>
    <w:rsid w:val="00DF55C0"/>
    <w:rsid w:val="00E03B9A"/>
    <w:rsid w:val="00E0665D"/>
    <w:rsid w:val="00E07ACA"/>
    <w:rsid w:val="00E13416"/>
    <w:rsid w:val="00E13FFA"/>
    <w:rsid w:val="00E150F9"/>
    <w:rsid w:val="00E1616E"/>
    <w:rsid w:val="00E31A52"/>
    <w:rsid w:val="00E37766"/>
    <w:rsid w:val="00E41B99"/>
    <w:rsid w:val="00E53CB2"/>
    <w:rsid w:val="00E53F9D"/>
    <w:rsid w:val="00E54B07"/>
    <w:rsid w:val="00E55724"/>
    <w:rsid w:val="00E55CB8"/>
    <w:rsid w:val="00E6103D"/>
    <w:rsid w:val="00E67BCE"/>
    <w:rsid w:val="00E67F8F"/>
    <w:rsid w:val="00E72C5E"/>
    <w:rsid w:val="00E7457D"/>
    <w:rsid w:val="00E8351F"/>
    <w:rsid w:val="00E90C32"/>
    <w:rsid w:val="00E95336"/>
    <w:rsid w:val="00EA2CB2"/>
    <w:rsid w:val="00EA4799"/>
    <w:rsid w:val="00EC2BAD"/>
    <w:rsid w:val="00EC6665"/>
    <w:rsid w:val="00ED20D8"/>
    <w:rsid w:val="00ED371A"/>
    <w:rsid w:val="00ED4B59"/>
    <w:rsid w:val="00EE747E"/>
    <w:rsid w:val="00EE74B1"/>
    <w:rsid w:val="00EF573A"/>
    <w:rsid w:val="00EF6B6C"/>
    <w:rsid w:val="00F01B22"/>
    <w:rsid w:val="00F029A2"/>
    <w:rsid w:val="00F051C8"/>
    <w:rsid w:val="00F06548"/>
    <w:rsid w:val="00F07FBF"/>
    <w:rsid w:val="00F21B09"/>
    <w:rsid w:val="00F2257B"/>
    <w:rsid w:val="00F23B7B"/>
    <w:rsid w:val="00F32DEE"/>
    <w:rsid w:val="00F3685B"/>
    <w:rsid w:val="00F43169"/>
    <w:rsid w:val="00F444D3"/>
    <w:rsid w:val="00F467D0"/>
    <w:rsid w:val="00F5473F"/>
    <w:rsid w:val="00F57914"/>
    <w:rsid w:val="00F61405"/>
    <w:rsid w:val="00F61446"/>
    <w:rsid w:val="00F63D93"/>
    <w:rsid w:val="00F80D11"/>
    <w:rsid w:val="00F835C0"/>
    <w:rsid w:val="00F9362D"/>
    <w:rsid w:val="00FA32D3"/>
    <w:rsid w:val="00FB11CC"/>
    <w:rsid w:val="00FB2559"/>
    <w:rsid w:val="00FB3AA2"/>
    <w:rsid w:val="00FC1650"/>
    <w:rsid w:val="00FC5A83"/>
    <w:rsid w:val="00FC6883"/>
    <w:rsid w:val="00FC71A6"/>
    <w:rsid w:val="00FD68AF"/>
    <w:rsid w:val="00FE16F8"/>
    <w:rsid w:val="00FE6D63"/>
    <w:rsid w:val="00FE79A5"/>
    <w:rsid w:val="00FF3F2C"/>
    <w:rsid w:val="00FF6790"/>
    <w:rsid w:val="1862B5CA"/>
    <w:rsid w:val="1AA911A0"/>
    <w:rsid w:val="1F19C28A"/>
    <w:rsid w:val="38458037"/>
    <w:rsid w:val="432DF46D"/>
    <w:rsid w:val="45A3AE96"/>
    <w:rsid w:val="4B852EC2"/>
    <w:rsid w:val="51EEE2B5"/>
    <w:rsid w:val="52DAFB2D"/>
    <w:rsid w:val="55002356"/>
    <w:rsid w:val="63243EE6"/>
    <w:rsid w:val="781BB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484EF0"/>
  <w15:docId w15:val="{F73CB4AE-DDED-45F4-A4BA-F2064660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7D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A3286"/>
    <w:pPr>
      <w:keepNext/>
      <w:spacing w:before="240" w:after="60"/>
      <w:outlineLvl w:val="0"/>
    </w:pPr>
    <w:rPr>
      <w:rFonts w:eastAsia="Calibri"/>
      <w:b/>
      <w:bCs/>
      <w:color w:val="0033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A3286"/>
    <w:pPr>
      <w:keepNext/>
      <w:keepLines/>
      <w:spacing w:before="200" w:after="0"/>
      <w:outlineLvl w:val="1"/>
    </w:pPr>
    <w:rPr>
      <w:rFonts w:eastAsia="Calibri"/>
      <w:b/>
      <w:bCs/>
      <w:i/>
      <w:color w:val="003300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1231D8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00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A3286"/>
    <w:rPr>
      <w:rFonts w:eastAsia="Times New Roman" w:cs="Times New Roman"/>
      <w:b/>
      <w:bCs/>
      <w:color w:val="0033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5A3286"/>
    <w:rPr>
      <w:rFonts w:ascii="Calibri" w:hAnsi="Calibri" w:cs="Times New Roman"/>
      <w:b/>
      <w:bCs/>
      <w:i/>
      <w:color w:val="003300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locked/>
    <w:rsid w:val="001231D8"/>
    <w:rPr>
      <w:rFonts w:ascii="Cambria" w:hAnsi="Cambria" w:cs="Times New Roman"/>
      <w:b/>
      <w:bCs/>
      <w:color w:val="0033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06360"/>
    <w:pPr>
      <w:ind w:left="720"/>
    </w:pPr>
  </w:style>
  <w:style w:type="paragraph" w:styleId="NoSpacing">
    <w:name w:val="No Spacing"/>
    <w:qFormat/>
    <w:rsid w:val="005D2C6C"/>
    <w:rPr>
      <w:rFonts w:eastAsia="Times New Roman"/>
      <w:sz w:val="22"/>
      <w:szCs w:val="22"/>
    </w:rPr>
  </w:style>
  <w:style w:type="character" w:styleId="Hyperlink">
    <w:name w:val="Hyperlink"/>
    <w:basedOn w:val="DefaultParagraphFont"/>
    <w:rsid w:val="00177E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C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C190E"/>
    <w:rPr>
      <w:rFonts w:cs="Times New Roman"/>
    </w:rPr>
  </w:style>
  <w:style w:type="paragraph" w:styleId="Footer">
    <w:name w:val="footer"/>
    <w:basedOn w:val="Normal"/>
    <w:link w:val="FooterChar"/>
    <w:rsid w:val="00CC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C190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3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34D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598B"/>
    <w:pPr>
      <w:spacing w:before="60" w:after="60" w:line="240" w:lineRule="auto"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77598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5F0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List1">
    <w:name w:val="Colorful List1"/>
    <w:rsid w:val="00605F05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SUS">
    <w:name w:val="CSUS"/>
    <w:rsid w:val="00DF257D"/>
    <w:pPr>
      <w:contextualSpacing/>
    </w:pPr>
    <w:rPr>
      <w:rFonts w:eastAsia="Times New Roman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qFormat/>
    <w:rsid w:val="00D536B1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D536B1"/>
    <w:pPr>
      <w:spacing w:after="100"/>
    </w:pPr>
  </w:style>
  <w:style w:type="paragraph" w:styleId="NormalIndent">
    <w:name w:val="Normal Indent"/>
    <w:basedOn w:val="Normal"/>
    <w:rsid w:val="00AD4941"/>
    <w:pPr>
      <w:spacing w:after="0" w:line="240" w:lineRule="auto"/>
      <w:ind w:left="720"/>
      <w:jc w:val="both"/>
    </w:pPr>
    <w:rPr>
      <w:rFonts w:ascii="Verdana" w:hAnsi="Verdana"/>
      <w:sz w:val="18"/>
      <w:szCs w:val="20"/>
    </w:rPr>
  </w:style>
  <w:style w:type="paragraph" w:customStyle="1" w:styleId="Default">
    <w:name w:val="Default"/>
    <w:rsid w:val="00AD49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21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B0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1B09"/>
    <w:rPr>
      <w:rFonts w:eastAsia="Times New Roman"/>
      <w:b/>
      <w:bCs/>
    </w:rPr>
  </w:style>
  <w:style w:type="table" w:customStyle="1" w:styleId="LightList-Accent11">
    <w:name w:val="Light List - Accent 11"/>
    <w:basedOn w:val="TableNormal"/>
    <w:uiPriority w:val="61"/>
    <w:rsid w:val="00405E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4B24F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16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B42E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BDB"/>
    <w:rPr>
      <w:color w:val="808080"/>
      <w:shd w:val="clear" w:color="auto" w:fill="E6E6E6"/>
    </w:rPr>
  </w:style>
  <w:style w:type="paragraph" w:customStyle="1" w:styleId="Table01Header">
    <w:name w:val="Table 01_Header"/>
    <w:basedOn w:val="Normal"/>
    <w:uiPriority w:val="20"/>
    <w:rsid w:val="00F467D0"/>
    <w:pPr>
      <w:keepNext/>
      <w:spacing w:before="40" w:after="20" w:line="312" w:lineRule="auto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Table02Body">
    <w:name w:val="Table 02_Body"/>
    <w:basedOn w:val="Normal"/>
    <w:uiPriority w:val="21"/>
    <w:rsid w:val="00F467D0"/>
    <w:pPr>
      <w:spacing w:before="40" w:after="20" w:line="264" w:lineRule="auto"/>
    </w:pPr>
    <w:rPr>
      <w:rFonts w:ascii="Arial" w:eastAsiaTheme="minorHAnsi" w:hAnsi="Arial" w:cs="Arial"/>
      <w:sz w:val="18"/>
      <w:szCs w:val="18"/>
    </w:rPr>
  </w:style>
  <w:style w:type="paragraph" w:customStyle="1" w:styleId="H-Subtitle02Bold">
    <w:name w:val="H-Subtitle 02_Bold"/>
    <w:basedOn w:val="Normal"/>
    <w:uiPriority w:val="11"/>
    <w:rsid w:val="00F467D0"/>
    <w:pPr>
      <w:keepNext/>
      <w:spacing w:before="240" w:after="120" w:line="312" w:lineRule="auto"/>
    </w:pPr>
    <w:rPr>
      <w:rFonts w:ascii="Arial" w:eastAsiaTheme="minorHAns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5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sus.edu/umanual/admin/adm-0117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vigione.com/vigitrust/login/index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sus.service-now.com/service/kb?kb=KB0011391&amp;sysparm_search=PCI&amp;sysparm_catego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sus.service-now.com/service/kb?kb=KB0011402&amp;sysparm_search=PCI&amp;sysparm_categor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sus.edu/aba/bursarsoffice/documents/request_to_accept_credit_cards_procedures_adm_0117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FCF63D7CC9498C33B99887265312" ma:contentTypeVersion="6" ma:contentTypeDescription="Create a new document." ma:contentTypeScope="" ma:versionID="9862d265767587a749d5499d793eb652">
  <xsd:schema xmlns:xsd="http://www.w3.org/2001/XMLSchema" xmlns:xs="http://www.w3.org/2001/XMLSchema" xmlns:p="http://schemas.microsoft.com/office/2006/metadata/properties" xmlns:ns2="176946fa-2c59-4756-afac-3f418266bfeb" xmlns:ns3="82b1fdb0-2762-4c73-b624-cae29bf23b85" targetNamespace="http://schemas.microsoft.com/office/2006/metadata/properties" ma:root="true" ma:fieldsID="9c109937e9988dcb3db48990dd0fd894" ns2:_="" ns3:_="">
    <xsd:import namespace="176946fa-2c59-4756-afac-3f418266bfeb"/>
    <xsd:import namespace="82b1fdb0-2762-4c73-b624-cae29bf23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46fa-2c59-4756-afac-3f418266b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fdb0-2762-4c73-b624-cae29bf23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6F4A-1663-48FA-A723-1AAAD3ECAC9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176946fa-2c59-4756-afac-3f418266bf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2b1fdb0-2762-4c73-b624-cae29bf23b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29BBFF-2A95-4BB0-9C7C-4CC0D32C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946fa-2c59-4756-afac-3f418266bfeb"/>
    <ds:schemaRef ds:uri="82b1fdb0-2762-4c73-b624-cae29bf2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14653-AE40-4A36-ACD8-18C6A96EE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F8C77-A2AF-4A47-966E-9BFFC0A4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information contained in this document is derived from the August 2008 campus subnets and VLANs spreadsheet maintained by Network Operations</vt:lpstr>
    </vt:vector>
  </TitlesOfParts>
  <Company>CSUS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information contained in this document is derived from the August 2008 campus subnets and VLANs spreadsheet maintained by Network Operations</dc:title>
  <dc:subject/>
  <dc:creator>Fox, Marc</dc:creator>
  <cp:keywords/>
  <dc:description/>
  <cp:lastModifiedBy>Ashari, Waleed</cp:lastModifiedBy>
  <cp:revision>2</cp:revision>
  <cp:lastPrinted>2018-05-04T16:08:00Z</cp:lastPrinted>
  <dcterms:created xsi:type="dcterms:W3CDTF">2019-11-27T18:08:00Z</dcterms:created>
  <dcterms:modified xsi:type="dcterms:W3CDTF">2019-11-27T18:08:00Z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0x0101004B93FCF63D7CC9498C33B99887265312</vt:lpwstr>
  </property>
  <property fmtid="{D5CDD505-2E9C-101B-9397-08002B2CF9AE}" pid="3" name="Order">
    <vt:r8>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